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880" w:firstLineChars="200"/>
        <w:rPr>
          <w:rFonts w:ascii="方正小标宋简体" w:hAnsi="新宋体" w:eastAsia="方正小标宋简体"/>
          <w:b/>
          <w:sz w:val="44"/>
          <w:szCs w:val="44"/>
        </w:rPr>
      </w:pPr>
      <w:r>
        <w:rPr>
          <w:rStyle w:val="10"/>
          <w:rFonts w:hint="eastAsia" w:ascii="方正小标宋简体" w:hAnsi="宋体" w:eastAsia="方正小标宋简体"/>
          <w:sz w:val="44"/>
          <w:szCs w:val="44"/>
        </w:rPr>
        <w:t>湘潭大学学位授权点建设年度报告</w:t>
      </w: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tbl>
      <w:tblPr>
        <w:tblStyle w:val="8"/>
        <w:tblW w:w="5982"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2013" w:type="dxa"/>
            <w:vMerge w:val="restart"/>
            <w:tcBorders>
              <w:top w:val="nil"/>
              <w:left w:val="nil"/>
              <w:bottom w:val="nil"/>
              <w:right w:val="single" w:color="auto" w:sz="4" w:space="0"/>
            </w:tcBorders>
            <w:vAlign w:val="center"/>
          </w:tcPr>
          <w:p>
            <w:pPr>
              <w:rPr>
                <w:rFonts w:ascii="楷体" w:hAnsi="楷体" w:eastAsia="楷体"/>
                <w:b/>
                <w:color w:val="4C4C4C" w:themeColor="text1"/>
                <w:kern w:val="0"/>
                <w:sz w:val="32"/>
                <w:szCs w:val="32"/>
                <w14:textFill>
                  <w14:solidFill>
                    <w14:schemeClr w14:val="tx1"/>
                  </w14:solidFill>
                </w14:textFill>
              </w:rPr>
            </w:pPr>
            <w:r>
              <w:rPr>
                <w:rFonts w:ascii="楷体" w:hAnsi="楷体" w:eastAsia="楷体"/>
                <w:b/>
                <w:color w:val="4C4C4C" w:themeColor="text1"/>
                <w:spacing w:val="60"/>
                <w:kern w:val="0"/>
                <w:sz w:val="32"/>
                <w:szCs w:val="32"/>
                <w:fitText w:val="1644" w:id="0"/>
                <w14:textFill>
                  <w14:solidFill>
                    <w14:schemeClr w14:val="tx1"/>
                  </w14:solidFill>
                </w14:textFill>
              </w:rPr>
              <w:t>授</w:t>
            </w:r>
            <w:r>
              <w:rPr>
                <w:rFonts w:hint="eastAsia" w:ascii="楷体" w:hAnsi="楷体" w:eastAsia="楷体"/>
                <w:b/>
                <w:color w:val="4C4C4C" w:themeColor="text1"/>
                <w:spacing w:val="60"/>
                <w:kern w:val="0"/>
                <w:sz w:val="32"/>
                <w:szCs w:val="32"/>
                <w:fitText w:val="1644" w:id="0"/>
                <w14:textFill>
                  <w14:solidFill>
                    <w14:schemeClr w14:val="tx1"/>
                  </w14:solidFill>
                </w14:textFill>
              </w:rPr>
              <w:t>权学</w:t>
            </w:r>
            <w:r>
              <w:rPr>
                <w:rFonts w:hint="eastAsia" w:ascii="楷体" w:hAnsi="楷体" w:eastAsia="楷体"/>
                <w:b/>
                <w:color w:val="4C4C4C" w:themeColor="text1"/>
                <w:spacing w:val="2"/>
                <w:kern w:val="0"/>
                <w:sz w:val="32"/>
                <w:szCs w:val="32"/>
                <w:fitText w:val="1644" w:id="0"/>
                <w14:textFill>
                  <w14:solidFill>
                    <w14:schemeClr w14:val="tx1"/>
                  </w14:solidFill>
                </w14:textFill>
              </w:rPr>
              <w:t>科</w:t>
            </w:r>
          </w:p>
          <w:p>
            <w:pPr>
              <w:rPr>
                <w:rFonts w:ascii="楷体" w:hAnsi="楷体" w:eastAsia="楷体"/>
                <w:b/>
                <w:color w:val="4C4C4C" w:themeColor="text1"/>
                <w:kern w:val="0"/>
                <w:sz w:val="32"/>
                <w:szCs w:val="32"/>
                <w14:textFill>
                  <w14:solidFill>
                    <w14:schemeClr w14:val="tx1"/>
                  </w14:solidFill>
                </w14:textFill>
              </w:rPr>
            </w:pPr>
            <w:r>
              <w:rPr>
                <w:rFonts w:hint="eastAsia" w:ascii="楷体" w:hAnsi="楷体" w:eastAsia="楷体"/>
                <w:b/>
                <w:color w:val="4C4C4C" w:themeColor="text1"/>
                <w:kern w:val="0"/>
                <w:sz w:val="32"/>
                <w:szCs w:val="32"/>
                <w14:textFill>
                  <w14:solidFill>
                    <w14:schemeClr w14:val="tx1"/>
                  </w14:solidFill>
                </w14:textFill>
              </w:rPr>
              <w:t>（ 类 别 ）</w:t>
            </w:r>
          </w:p>
        </w:tc>
        <w:tc>
          <w:tcPr>
            <w:tcW w:w="3969" w:type="dxa"/>
            <w:tcBorders>
              <w:top w:val="nil"/>
              <w:left w:val="single" w:color="auto" w:sz="4" w:space="0"/>
              <w:right w:val="nil"/>
            </w:tcBorders>
            <w:vAlign w:val="bottom"/>
          </w:tcPr>
          <w:p>
            <w:pPr>
              <w:rPr>
                <w:rFonts w:hint="eastAsia" w:ascii="楷体" w:hAnsi="楷体" w:eastAsia="楷体"/>
                <w:b/>
                <w:color w:val="4C4C4C" w:themeColor="text1"/>
                <w:w w:val="85"/>
                <w:sz w:val="32"/>
                <w:szCs w:val="32"/>
                <w:lang w:val="en-US" w:eastAsia="zh-CN"/>
                <w14:textFill>
                  <w14:solidFill>
                    <w14:schemeClr w14:val="tx1"/>
                  </w14:solidFill>
                </w14:textFill>
              </w:rPr>
            </w:pPr>
            <w:r>
              <w:rPr>
                <w:rFonts w:ascii="楷体" w:hAnsi="楷体" w:eastAsia="楷体"/>
                <w:b/>
                <w:color w:val="4C4C4C" w:themeColor="text1"/>
                <w:w w:val="85"/>
                <w:sz w:val="32"/>
                <w:szCs w:val="32"/>
                <w14:textFill>
                  <w14:solidFill>
                    <w14:schemeClr w14:val="tx1"/>
                  </w14:solidFill>
                </w14:textFill>
              </w:rPr>
              <w:t>名称：</w:t>
            </w:r>
            <w:r>
              <w:rPr>
                <w:rFonts w:hint="eastAsia" w:ascii="楷体" w:hAnsi="楷体" w:eastAsia="楷体"/>
                <w:b/>
                <w:color w:val="4C4C4C" w:themeColor="text1"/>
                <w:w w:val="85"/>
                <w:sz w:val="32"/>
                <w:szCs w:val="32"/>
                <w:lang w:val="en-US" w:eastAsia="zh-CN"/>
                <w14:textFill>
                  <w14:solidFill>
                    <w14:schemeClr w14:val="tx1"/>
                  </w14:solidFill>
                </w14:textFill>
              </w:rPr>
              <w:t>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013" w:type="dxa"/>
            <w:vMerge w:val="continue"/>
            <w:tcBorders>
              <w:top w:val="nil"/>
              <w:left w:val="nil"/>
              <w:bottom w:val="nil"/>
              <w:right w:val="single" w:color="auto" w:sz="4" w:space="0"/>
            </w:tcBorders>
          </w:tcPr>
          <w:p>
            <w:pPr>
              <w:jc w:val="center"/>
              <w:rPr>
                <w:rFonts w:ascii="楷体" w:hAnsi="楷体" w:eastAsia="楷体"/>
                <w:b/>
                <w:color w:val="4C4C4C" w:themeColor="text1"/>
                <w:sz w:val="32"/>
                <w:szCs w:val="32"/>
                <w14:textFill>
                  <w14:solidFill>
                    <w14:schemeClr w14:val="tx1"/>
                  </w14:solidFill>
                </w14:textFill>
              </w:rPr>
            </w:pPr>
          </w:p>
        </w:tc>
        <w:tc>
          <w:tcPr>
            <w:tcW w:w="3969" w:type="dxa"/>
            <w:tcBorders>
              <w:left w:val="single" w:color="auto" w:sz="4" w:space="0"/>
              <w:bottom w:val="nil"/>
              <w:right w:val="nil"/>
            </w:tcBorders>
            <w:vAlign w:val="bottom"/>
          </w:tcPr>
          <w:p>
            <w:pPr>
              <w:rPr>
                <w:rFonts w:hint="default" w:ascii="楷体" w:hAnsi="楷体" w:eastAsia="楷体"/>
                <w:b/>
                <w:color w:val="4C4C4C" w:themeColor="text1"/>
                <w:sz w:val="32"/>
                <w:szCs w:val="32"/>
                <w:lang w:val="en-US" w:eastAsia="zh-CN"/>
                <w14:textFill>
                  <w14:solidFill>
                    <w14:schemeClr w14:val="tx1"/>
                  </w14:solidFill>
                </w14:textFill>
              </w:rPr>
            </w:pPr>
            <w:r>
              <w:rPr>
                <w:rFonts w:hint="eastAsia" w:ascii="楷体" w:hAnsi="楷体" w:eastAsia="楷体"/>
                <w:b/>
                <w:color w:val="4C4C4C" w:themeColor="text1"/>
                <w:w w:val="85"/>
                <w:sz w:val="32"/>
                <w:szCs w:val="32"/>
                <w14:textFill>
                  <w14:solidFill>
                    <w14:schemeClr w14:val="tx1"/>
                  </w14:solidFill>
                </w14:textFill>
              </w:rPr>
              <w:t>代码</w:t>
            </w:r>
            <w:r>
              <w:rPr>
                <w:rFonts w:ascii="楷体" w:hAnsi="楷体" w:eastAsia="楷体"/>
                <w:b/>
                <w:color w:val="4C4C4C" w:themeColor="text1"/>
                <w:w w:val="85"/>
                <w:sz w:val="32"/>
                <w:szCs w:val="32"/>
                <w14:textFill>
                  <w14:solidFill>
                    <w14:schemeClr w14:val="tx1"/>
                  </w14:solidFill>
                </w14:textFill>
              </w:rPr>
              <w:t>：</w:t>
            </w:r>
            <w:r>
              <w:rPr>
                <w:rFonts w:hint="eastAsia" w:ascii="楷体" w:hAnsi="楷体" w:eastAsia="楷体"/>
                <w:b/>
                <w:color w:val="4C4C4C" w:themeColor="text1"/>
                <w:w w:val="85"/>
                <w:sz w:val="32"/>
                <w:szCs w:val="32"/>
                <w:lang w:val="en-US" w:eastAsia="zh-CN"/>
                <w14:textFill>
                  <w14:solidFill>
                    <w14:schemeClr w14:val="tx1"/>
                  </w14:solidFill>
                </w14:textFill>
              </w:rPr>
              <w:t>0701</w:t>
            </w:r>
          </w:p>
        </w:tc>
      </w:tr>
    </w:tbl>
    <w:p>
      <w:pPr>
        <w:jc w:val="center"/>
        <w:rPr>
          <w:color w:val="4C4C4C" w:themeColor="text1"/>
          <w14:textFill>
            <w14:solidFill>
              <w14:schemeClr w14:val="tx1"/>
            </w14:solidFill>
          </w14:textFill>
        </w:rPr>
      </w:pPr>
    </w:p>
    <w:p>
      <w:pPr>
        <w:jc w:val="center"/>
        <w:rPr>
          <w:color w:val="4C4C4C" w:themeColor="text1"/>
          <w14:textFill>
            <w14:solidFill>
              <w14:schemeClr w14:val="tx1"/>
            </w14:solidFill>
          </w14:textFill>
        </w:rPr>
      </w:pPr>
    </w:p>
    <w:tbl>
      <w:tblPr>
        <w:tblStyle w:val="8"/>
        <w:tblW w:w="5982" w:type="dxa"/>
        <w:tblInd w:w="1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2013" w:type="dxa"/>
            <w:vMerge w:val="restart"/>
            <w:tcBorders>
              <w:top w:val="nil"/>
              <w:left w:val="nil"/>
              <w:bottom w:val="nil"/>
              <w:right w:val="single" w:color="auto" w:sz="4" w:space="0"/>
            </w:tcBorders>
            <w:vAlign w:val="center"/>
          </w:tcPr>
          <w:p>
            <w:pPr>
              <w:rPr>
                <w:rFonts w:ascii="楷体" w:hAnsi="楷体" w:eastAsia="楷体"/>
                <w:b/>
                <w:color w:val="4C4C4C" w:themeColor="text1"/>
                <w:w w:val="85"/>
                <w:sz w:val="32"/>
                <w:szCs w:val="32"/>
                <w14:textFill>
                  <w14:solidFill>
                    <w14:schemeClr w14:val="tx1"/>
                  </w14:solidFill>
                </w14:textFill>
              </w:rPr>
            </w:pPr>
            <w:r>
              <w:rPr>
                <w:rFonts w:ascii="楷体" w:hAnsi="楷体" w:eastAsia="楷体"/>
                <w:b/>
                <w:color w:val="4C4C4C" w:themeColor="text1"/>
                <w:spacing w:val="60"/>
                <w:kern w:val="0"/>
                <w:sz w:val="32"/>
                <w:szCs w:val="32"/>
                <w:fitText w:val="1644" w:id="1"/>
                <w14:textFill>
                  <w14:solidFill>
                    <w14:schemeClr w14:val="tx1"/>
                  </w14:solidFill>
                </w14:textFill>
              </w:rPr>
              <w:t>授</w:t>
            </w:r>
            <w:r>
              <w:rPr>
                <w:rFonts w:hint="eastAsia" w:ascii="楷体" w:hAnsi="楷体" w:eastAsia="楷体"/>
                <w:b/>
                <w:color w:val="4C4C4C" w:themeColor="text1"/>
                <w:spacing w:val="60"/>
                <w:kern w:val="0"/>
                <w:sz w:val="32"/>
                <w:szCs w:val="32"/>
                <w:fitText w:val="1644" w:id="1"/>
                <w14:textFill>
                  <w14:solidFill>
                    <w14:schemeClr w14:val="tx1"/>
                  </w14:solidFill>
                </w14:textFill>
              </w:rPr>
              <w:t>权级</w:t>
            </w:r>
            <w:r>
              <w:rPr>
                <w:rFonts w:hint="eastAsia" w:ascii="楷体" w:hAnsi="楷体" w:eastAsia="楷体"/>
                <w:b/>
                <w:color w:val="4C4C4C" w:themeColor="text1"/>
                <w:spacing w:val="2"/>
                <w:kern w:val="0"/>
                <w:sz w:val="32"/>
                <w:szCs w:val="32"/>
                <w:fitText w:val="1644" w:id="1"/>
                <w14:textFill>
                  <w14:solidFill>
                    <w14:schemeClr w14:val="tx1"/>
                  </w14:solidFill>
                </w14:textFill>
              </w:rPr>
              <w:t>别</w:t>
            </w:r>
          </w:p>
        </w:tc>
        <w:tc>
          <w:tcPr>
            <w:tcW w:w="3969" w:type="dxa"/>
            <w:tcBorders>
              <w:top w:val="nil"/>
              <w:left w:val="single" w:color="auto" w:sz="4" w:space="0"/>
              <w:right w:val="nil"/>
            </w:tcBorders>
            <w:vAlign w:val="bottom"/>
          </w:tcPr>
          <w:p>
            <w:pPr>
              <w:rPr>
                <w:rFonts w:ascii="楷体" w:hAnsi="楷体" w:eastAsia="楷体"/>
                <w:b/>
                <w:color w:val="4C4C4C" w:themeColor="text1"/>
                <w:w w:val="85"/>
                <w:sz w:val="32"/>
                <w:szCs w:val="32"/>
                <w14:textFill>
                  <w14:solidFill>
                    <w14:schemeClr w14:val="tx1"/>
                  </w14:solidFill>
                </w14:textFill>
              </w:rPr>
            </w:pPr>
            <w:r>
              <w:rPr>
                <w:rFonts w:hint="eastAsia" w:ascii="Microsoft JhengHei" w:hAnsi="Microsoft JhengHei" w:eastAsia="宋体"/>
                <w:b/>
                <w:w w:val="135"/>
                <w:sz w:val="30"/>
                <w:lang w:eastAsia="zh-CN"/>
              </w:rPr>
              <w:t>☑</w:t>
            </w:r>
            <w:r>
              <w:rPr>
                <w:rFonts w:hint="eastAsia" w:ascii="楷体" w:hAnsi="楷体" w:eastAsia="楷体"/>
                <w:b/>
                <w:color w:val="4C4C4C" w:themeColor="text1"/>
                <w:w w:val="85"/>
                <w:sz w:val="32"/>
                <w:szCs w:val="32"/>
                <w14:textFill>
                  <w14:solidFill>
                    <w14:schemeClr w14:val="tx1"/>
                  </w14:solidFill>
                </w14:textFill>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2013" w:type="dxa"/>
            <w:vMerge w:val="continue"/>
            <w:tcBorders>
              <w:top w:val="nil"/>
              <w:left w:val="nil"/>
              <w:bottom w:val="nil"/>
              <w:right w:val="single" w:color="auto" w:sz="4" w:space="0"/>
            </w:tcBorders>
          </w:tcPr>
          <w:p>
            <w:pPr>
              <w:jc w:val="center"/>
              <w:rPr>
                <w:rFonts w:ascii="楷体" w:hAnsi="楷体" w:eastAsia="楷体"/>
                <w:b/>
                <w:color w:val="4C4C4C" w:themeColor="text1"/>
                <w:sz w:val="32"/>
                <w:szCs w:val="32"/>
                <w14:textFill>
                  <w14:solidFill>
                    <w14:schemeClr w14:val="tx1"/>
                  </w14:solidFill>
                </w14:textFill>
              </w:rPr>
            </w:pPr>
          </w:p>
        </w:tc>
        <w:tc>
          <w:tcPr>
            <w:tcW w:w="3969" w:type="dxa"/>
            <w:tcBorders>
              <w:left w:val="single" w:color="auto" w:sz="4" w:space="0"/>
              <w:bottom w:val="nil"/>
              <w:right w:val="nil"/>
            </w:tcBorders>
            <w:vAlign w:val="bottom"/>
          </w:tcPr>
          <w:p>
            <w:pPr>
              <w:rPr>
                <w:rFonts w:ascii="楷体" w:hAnsi="楷体" w:eastAsia="楷体"/>
                <w:b/>
                <w:color w:val="4C4C4C" w:themeColor="text1"/>
                <w:sz w:val="32"/>
                <w:szCs w:val="32"/>
                <w14:textFill>
                  <w14:solidFill>
                    <w14:schemeClr w14:val="tx1"/>
                  </w14:solidFill>
                </w14:textFill>
              </w:rPr>
            </w:pPr>
            <w:r>
              <w:rPr>
                <w:rFonts w:hint="eastAsia" w:ascii="Microsoft JhengHei" w:hAnsi="Microsoft JhengHei" w:eastAsia="Microsoft JhengHei"/>
                <w:b/>
                <w:w w:val="135"/>
                <w:sz w:val="30"/>
              </w:rPr>
              <w:t>□</w:t>
            </w:r>
            <w:r>
              <w:rPr>
                <w:rFonts w:hint="eastAsia" w:ascii="楷体" w:hAnsi="楷体" w:eastAsia="楷体"/>
                <w:b/>
                <w:color w:val="4C4C4C" w:themeColor="text1"/>
                <w:w w:val="85"/>
                <w:sz w:val="32"/>
                <w:szCs w:val="32"/>
                <w14:textFill>
                  <w14:solidFill>
                    <w14:schemeClr w14:val="tx1"/>
                  </w14:solidFill>
                </w14:textFill>
              </w:rPr>
              <w:t>硕士</w:t>
            </w:r>
          </w:p>
        </w:tc>
      </w:tr>
    </w:tbl>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560" w:firstLineChars="200"/>
        <w:rPr>
          <w:rFonts w:asciiTheme="minorEastAsia" w:hAnsiTheme="minorEastAsia"/>
          <w:sz w:val="28"/>
          <w:szCs w:val="28"/>
        </w:rPr>
      </w:pPr>
    </w:p>
    <w:p>
      <w:pPr>
        <w:spacing w:line="480" w:lineRule="exact"/>
        <w:ind w:firstLine="643" w:firstLineChars="200"/>
        <w:jc w:val="center"/>
        <w:rPr>
          <w:rStyle w:val="10"/>
          <w:rFonts w:ascii="Times New Roman" w:hAnsi="Times New Roman" w:eastAsia="楷体_GB2312"/>
          <w:b/>
          <w:bCs/>
        </w:rPr>
      </w:pPr>
      <w:r>
        <w:rPr>
          <w:rStyle w:val="10"/>
          <w:rFonts w:hint="eastAsia" w:ascii="Times New Roman" w:hAnsi="Times New Roman" w:eastAsia="楷体_GB2312"/>
          <w:b/>
          <w:bCs/>
        </w:rPr>
        <w:t>202</w:t>
      </w:r>
      <w:r>
        <w:rPr>
          <w:rStyle w:val="10"/>
          <w:rFonts w:hint="eastAsia" w:ascii="Times New Roman" w:hAnsi="Times New Roman" w:eastAsia="楷体_GB2312"/>
          <w:b/>
          <w:bCs/>
          <w:lang w:val="en-US" w:eastAsia="zh-CN"/>
        </w:rPr>
        <w:t>3</w:t>
      </w:r>
      <w:r>
        <w:rPr>
          <w:rStyle w:val="10"/>
          <w:rFonts w:hint="eastAsia" w:ascii="Times New Roman" w:hAnsi="Times New Roman" w:eastAsia="楷体_GB2312"/>
          <w:b/>
          <w:bCs/>
        </w:rPr>
        <w:t xml:space="preserve"> 年 </w:t>
      </w:r>
      <w:r>
        <w:rPr>
          <w:rStyle w:val="10"/>
          <w:rFonts w:hint="eastAsia" w:ascii="Times New Roman" w:hAnsi="Times New Roman" w:eastAsia="楷体_GB2312"/>
          <w:b/>
          <w:bCs/>
          <w:lang w:val="en-US" w:eastAsia="zh-CN"/>
        </w:rPr>
        <w:t>2</w:t>
      </w:r>
      <w:r>
        <w:rPr>
          <w:rStyle w:val="10"/>
          <w:rFonts w:hint="eastAsia" w:ascii="Times New Roman" w:hAnsi="Times New Roman" w:eastAsia="楷体_GB2312"/>
          <w:b/>
          <w:bCs/>
        </w:rPr>
        <w:t xml:space="preserve"> 月 </w:t>
      </w:r>
      <w:r>
        <w:rPr>
          <w:rStyle w:val="10"/>
          <w:rFonts w:hint="eastAsia" w:ascii="Times New Roman" w:hAnsi="Times New Roman" w:eastAsia="楷体_GB2312"/>
          <w:b/>
          <w:bCs/>
          <w:lang w:val="en-US" w:eastAsia="zh-CN"/>
        </w:rPr>
        <w:t>9</w:t>
      </w:r>
      <w:r>
        <w:rPr>
          <w:rStyle w:val="10"/>
          <w:rFonts w:hint="eastAsia" w:ascii="Times New Roman" w:hAnsi="Times New Roman" w:eastAsia="楷体_GB2312"/>
          <w:b/>
          <w:bCs/>
        </w:rPr>
        <w:t xml:space="preserve"> 日</w:t>
      </w:r>
    </w:p>
    <w:p>
      <w:pPr>
        <w:spacing w:line="480" w:lineRule="exact"/>
        <w:rPr>
          <w:rStyle w:val="10"/>
          <w:rFonts w:ascii="Times New Roman" w:hAnsi="Times New Roman" w:eastAsia="楷体_GB2312"/>
          <w:b/>
          <w:bCs/>
        </w:rPr>
      </w:pPr>
    </w:p>
    <w:p>
      <w:pPr>
        <w:pStyle w:val="9"/>
        <w:keepNext w:val="0"/>
        <w:keepLines w:val="0"/>
        <w:pageBreakBefore w:val="0"/>
        <w:widowControl w:val="0"/>
        <w:kinsoku/>
        <w:wordWrap/>
        <w:overflowPunct/>
        <w:topLinePunct w:val="0"/>
        <w:autoSpaceDE/>
        <w:autoSpaceDN/>
        <w:bidi w:val="0"/>
        <w:adjustRightInd w:val="0"/>
        <w:snapToGrid w:val="0"/>
        <w:spacing w:line="240" w:lineRule="auto"/>
        <w:ind w:firstLine="640"/>
        <w:textAlignment w:val="auto"/>
        <w:outlineLvl w:val="0"/>
        <w:rPr>
          <w:rFonts w:ascii="黑体" w:hAnsi="黑体" w:eastAsia="黑体" w:cs="仿宋_GB2312"/>
          <w:color w:val="FF0000"/>
          <w:sz w:val="28"/>
          <w:szCs w:val="28"/>
        </w:rPr>
      </w:pPr>
      <w:r>
        <w:rPr>
          <w:rFonts w:hint="eastAsia" w:ascii="黑体" w:hAnsi="黑体" w:eastAsia="黑体" w:cs="黑体"/>
          <w:sz w:val="32"/>
          <w:szCs w:val="32"/>
        </w:rPr>
        <w:t>一、学位授权点基本情况及年度建设情况</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w:t>
      </w:r>
      <w:r>
        <w:rPr>
          <w:rFonts w:hint="default" w:ascii="仿宋_GB2312" w:hAnsi="仿宋_GB2312" w:eastAsia="仿宋_GB2312" w:cs="仿宋_GB2312"/>
          <w:b/>
          <w:bCs/>
          <w:sz w:val="32"/>
          <w:szCs w:val="32"/>
        </w:rPr>
        <w:t>历史沿革</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仿宋_GB2312" w:hAnsi="仿宋_GB2312" w:eastAsia="仿宋_GB2312" w:cs="仿宋_GB2312"/>
          <w:kern w:val="2"/>
          <w:sz w:val="32"/>
          <w:szCs w:val="32"/>
          <w:lang w:val="zh-TW" w:eastAsia="zh-TW" w:bidi="ar-SA"/>
        </w:rPr>
      </w:pPr>
      <w:r>
        <w:rPr>
          <w:rFonts w:hint="eastAsia" w:ascii="仿宋_GB2312" w:hAnsi="仿宋_GB2312" w:eastAsia="仿宋_GB2312" w:cs="仿宋_GB2312"/>
          <w:kern w:val="2"/>
          <w:sz w:val="32"/>
          <w:szCs w:val="32"/>
          <w:lang w:val="zh-TW" w:eastAsia="zh-TW" w:bidi="ar-SA"/>
        </w:rPr>
        <w:t>湘潭大学数学一级学科博士学位点于1978年开始招收基础数学硕士生；1981年获基础数学硕士学位授予权，1984年获计算数学、概率论与数理统计硕士学位授予权；2000、2006年分别获计算数学、应用数学博士学位授予权；2011年获数学一级学科博士学位授予权。已形成了结构合理、</w:t>
      </w:r>
      <w:r>
        <w:rPr>
          <w:rFonts w:hint="eastAsia" w:ascii="仿宋_GB2312" w:hAnsi="仿宋_GB2312" w:eastAsia="仿宋_GB2312" w:cs="仿宋_GB2312"/>
          <w:b w:val="0"/>
          <w:bCs w:val="0"/>
          <w:sz w:val="32"/>
          <w:szCs w:val="32"/>
          <w:lang w:val="zh-TW" w:eastAsia="zh-TW"/>
        </w:rPr>
        <w:t>立德树人、担当作为、</w:t>
      </w:r>
      <w:r>
        <w:rPr>
          <w:rFonts w:hint="eastAsia" w:ascii="仿宋_GB2312" w:hAnsi="仿宋_GB2312" w:eastAsia="仿宋_GB2312" w:cs="仿宋_GB2312"/>
          <w:kern w:val="2"/>
          <w:sz w:val="32"/>
          <w:szCs w:val="32"/>
          <w:lang w:val="zh-TW" w:eastAsia="zh-TW" w:bidi="ar-SA"/>
        </w:rPr>
        <w:t>创新意识和科研攻关能力强的学术团队。</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1.2培养方向及特色</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现有基础数学、计算数学、应用数学、运筹学与控制论、概率论5个学科方向，其中计算数学和应用数学为主干学科方向。本学位点有微分方程数值方法及应用，函数论、分形几何及应用，微分方程，</w:t>
      </w:r>
      <w:r>
        <w:rPr>
          <w:rFonts w:hint="default" w:ascii="Times New Roman" w:hAnsi="Times New Roman" w:eastAsia="仿宋_GB2312" w:cs="Times New Roman"/>
          <w:kern w:val="2"/>
          <w:sz w:val="32"/>
          <w:szCs w:val="32"/>
          <w:lang w:bidi="ar-SA"/>
        </w:rPr>
        <w:t>代数学，</w:t>
      </w:r>
      <w:r>
        <w:rPr>
          <w:rFonts w:hint="default" w:ascii="Times New Roman" w:hAnsi="Times New Roman" w:eastAsia="仿宋_GB2312" w:cs="Times New Roman"/>
          <w:kern w:val="2"/>
          <w:sz w:val="32"/>
          <w:szCs w:val="32"/>
          <w:lang w:val="zh-CN" w:bidi="ar-SA"/>
        </w:rPr>
        <w:t>矩阵分析及应用，流体力学中的数值计算，概率论及应用</w:t>
      </w:r>
      <w:r>
        <w:rPr>
          <w:rFonts w:hint="default" w:ascii="Times New Roman" w:hAnsi="Times New Roman" w:eastAsia="仿宋_GB2312" w:cs="Times New Roman"/>
          <w:kern w:val="2"/>
          <w:sz w:val="32"/>
          <w:szCs w:val="32"/>
          <w:lang w:bidi="ar-SA"/>
        </w:rPr>
        <w:t>，最优化理论与方法</w:t>
      </w:r>
      <w:r>
        <w:rPr>
          <w:rFonts w:hint="default" w:ascii="Times New Roman" w:hAnsi="Times New Roman" w:eastAsia="仿宋_GB2312" w:cs="Times New Roman"/>
          <w:kern w:val="2"/>
          <w:sz w:val="32"/>
          <w:szCs w:val="32"/>
          <w:lang w:val="zh-CN" w:bidi="ar-SA"/>
        </w:rPr>
        <w:t>等培养方向。</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bidi="ar-SA"/>
        </w:rPr>
        <w:t>数学</w:t>
      </w:r>
      <w:r>
        <w:rPr>
          <w:rFonts w:hint="eastAsia" w:ascii="Times New Roman" w:hAnsi="Times New Roman" w:eastAsia="仿宋_GB2312" w:cs="Times New Roman"/>
          <w:kern w:val="2"/>
          <w:sz w:val="32"/>
          <w:szCs w:val="32"/>
          <w:lang w:val="zh-CN" w:bidi="ar-SA"/>
        </w:rPr>
        <w:t>学科</w:t>
      </w:r>
      <w:r>
        <w:rPr>
          <w:rFonts w:hint="eastAsia" w:ascii="Times New Roman" w:hAnsi="Times New Roman" w:eastAsia="仿宋_GB2312" w:cs="Times New Roman"/>
          <w:kern w:val="2"/>
          <w:sz w:val="32"/>
          <w:szCs w:val="32"/>
          <w:lang w:val="en-US" w:eastAsia="zh-CN" w:bidi="ar-SA"/>
        </w:rPr>
        <w:t>是</w:t>
      </w:r>
      <w:r>
        <w:rPr>
          <w:rFonts w:hint="default" w:ascii="Times New Roman" w:hAnsi="Times New Roman" w:eastAsia="仿宋_GB2312" w:cs="Times New Roman"/>
          <w:kern w:val="2"/>
          <w:sz w:val="32"/>
          <w:szCs w:val="32"/>
          <w:lang w:eastAsia="zh-CN" w:bidi="ar-SA"/>
        </w:rPr>
        <w:t>国家“双一流”建设学科、</w:t>
      </w:r>
      <w:r>
        <w:rPr>
          <w:rFonts w:hint="eastAsia" w:ascii="Times New Roman" w:hAnsi="Times New Roman" w:eastAsia="仿宋_GB2312" w:cs="Times New Roman"/>
          <w:kern w:val="2"/>
          <w:sz w:val="32"/>
          <w:szCs w:val="32"/>
          <w:lang w:val="zh-CN" w:bidi="ar-SA"/>
        </w:rPr>
        <w:t>ESI前1%学科，计算数学和应用数学是学科的优势特色，特别在微分方程数值方法、快速算法、偏微分方程理论等方向形成了鲜明特色，获得了一批原创性成果和科研奖励。拥有计算数学国家重点学科，</w:t>
      </w:r>
      <w:r>
        <w:rPr>
          <w:rFonts w:hint="eastAsia" w:ascii="Times New Roman" w:hAnsi="Times New Roman" w:eastAsia="仿宋_GB2312" w:cs="Times New Roman"/>
          <w:kern w:val="2"/>
          <w:sz w:val="32"/>
          <w:szCs w:val="32"/>
          <w:lang w:val="en-US" w:eastAsia="zh-CN" w:bidi="ar-SA"/>
        </w:rPr>
        <w:t>1个</w:t>
      </w:r>
      <w:r>
        <w:rPr>
          <w:rFonts w:hint="eastAsia" w:ascii="Times New Roman" w:hAnsi="Times New Roman" w:eastAsia="仿宋_GB2312" w:cs="Times New Roman"/>
          <w:kern w:val="2"/>
          <w:sz w:val="32"/>
          <w:szCs w:val="32"/>
          <w:lang w:val="zh-CN" w:bidi="ar-SA"/>
        </w:rPr>
        <w:t>国家十三五国防特色学科，建有全国首批国家应用数学中心—湖南国家级应用数学中心（依托单位）、“智能计算与信息处理”教育部重点实验室、“科学工程计算与数值仿真”湖南省重点实验室、“计算科学”湖南省科技创新国际合作基地、“</w:t>
      </w:r>
      <w:r>
        <w:rPr>
          <w:rFonts w:hint="default" w:ascii="Times New Roman" w:hAnsi="Times New Roman" w:eastAsia="仿宋_GB2312" w:cs="Times New Roman"/>
          <w:kern w:val="2"/>
          <w:sz w:val="32"/>
          <w:szCs w:val="32"/>
          <w:lang w:bidi="ar-SA"/>
        </w:rPr>
        <w:t>****</w:t>
      </w:r>
      <w:r>
        <w:rPr>
          <w:rFonts w:hint="eastAsia" w:ascii="Times New Roman" w:hAnsi="Times New Roman" w:eastAsia="仿宋_GB2312" w:cs="Times New Roman"/>
          <w:kern w:val="2"/>
          <w:sz w:val="32"/>
          <w:szCs w:val="32"/>
          <w:lang w:val="zh-CN" w:bidi="ar-SA"/>
        </w:rPr>
        <w:t>”湖南省国防科技重点实验室、</w:t>
      </w:r>
      <w:r>
        <w:rPr>
          <w:rFonts w:hint="eastAsia" w:ascii="Times New Roman" w:hAnsi="Times New Roman" w:eastAsia="仿宋_GB2312" w:cs="Times New Roman"/>
          <w:kern w:val="2"/>
          <w:sz w:val="32"/>
          <w:szCs w:val="32"/>
          <w:lang w:val="en-US" w:eastAsia="zh-CN" w:bidi="ar-SA"/>
        </w:rPr>
        <w:t>数学学科教育部基础学科拔尖学生培养计划 2.0 基地</w:t>
      </w:r>
      <w:r>
        <w:rPr>
          <w:rFonts w:hint="eastAsia" w:ascii="Times New Roman" w:hAnsi="Times New Roman" w:eastAsia="仿宋_GB2312" w:cs="Times New Roman"/>
          <w:kern w:val="2"/>
          <w:sz w:val="32"/>
          <w:szCs w:val="32"/>
          <w:lang w:val="zh-CN" w:bidi="ar-SA"/>
        </w:rPr>
        <w:t>等科研平台。服务于国家战略，在国防方面作出重要贡献，长期开展国防应用数值模拟研究，承担了</w:t>
      </w:r>
      <w:r>
        <w:rPr>
          <w:rFonts w:hint="eastAsia" w:ascii="Times New Roman" w:hAnsi="Times New Roman" w:eastAsia="仿宋_GB2312" w:cs="Times New Roman"/>
          <w:kern w:val="2"/>
          <w:sz w:val="32"/>
          <w:szCs w:val="32"/>
          <w:lang w:val="en-US" w:eastAsia="zh-CN" w:bidi="ar-SA"/>
        </w:rPr>
        <w:t>国家重点研发项目、</w:t>
      </w:r>
      <w:r>
        <w:rPr>
          <w:rFonts w:hint="eastAsia" w:ascii="Times New Roman" w:hAnsi="Times New Roman" w:eastAsia="仿宋_GB2312" w:cs="Times New Roman"/>
          <w:kern w:val="2"/>
          <w:sz w:val="32"/>
          <w:szCs w:val="32"/>
          <w:lang w:val="zh-CN" w:bidi="ar-SA"/>
        </w:rPr>
        <w:t>国家科技重大专项和国防基础科研***挑战专题等，是国内从事国防应用数值模拟领域研究的重要力量。积极服务学术组织和社会，承办学术会议，扩大学科影响，创办 SCI 学术期刊，多人担任国内专业期刊主编、编委等。</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 培养目标</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培养热爱祖国、遵纪守法、学风严谨、品行端正、身心健康的专业人才</w:t>
      </w:r>
      <w:r>
        <w:rPr>
          <w:rFonts w:hint="eastAsia" w:ascii="Times New Roman" w:hAnsi="Times New Roman" w:eastAsia="仿宋_GB2312" w:cs="Times New Roman"/>
          <w:kern w:val="2"/>
          <w:sz w:val="32"/>
          <w:szCs w:val="32"/>
          <w:lang w:val="zh-CN" w:bidi="ar-SA"/>
        </w:rPr>
        <w:t>；</w:t>
      </w:r>
      <w:r>
        <w:rPr>
          <w:rFonts w:hint="default" w:ascii="Times New Roman" w:hAnsi="Times New Roman" w:eastAsia="仿宋_GB2312" w:cs="Times New Roman"/>
          <w:kern w:val="2"/>
          <w:sz w:val="32"/>
          <w:szCs w:val="32"/>
          <w:lang w:val="zh-CN" w:bidi="ar-SA"/>
        </w:rPr>
        <w:t>具有较强事业心和献身科学的精神，积极为社会各项事业服务；具有坚实宽广的数学理论基础，在数学的某些方向上系统掌握专门理论知识、技术与方法，并熟悉相关学科知识；具备独立从事科学研究的能力，在数学理论及应用上做出创新成果；熟练掌握一门外国语。</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 学位标准</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博士/硕博连读/硕士研究生基本学制 3/</w:t>
      </w:r>
      <w:r>
        <w:rPr>
          <w:rFonts w:hint="default" w:ascii="Times New Roman" w:hAnsi="Times New Roman" w:eastAsia="仿宋_GB2312" w:cs="Times New Roman"/>
          <w:kern w:val="2"/>
          <w:sz w:val="32"/>
          <w:szCs w:val="32"/>
          <w:lang w:bidi="ar-SA"/>
        </w:rPr>
        <w:t>6</w:t>
      </w:r>
      <w:r>
        <w:rPr>
          <w:rFonts w:hint="default" w:ascii="Times New Roman" w:hAnsi="Times New Roman" w:eastAsia="仿宋_GB2312" w:cs="Times New Roman"/>
          <w:kern w:val="2"/>
          <w:sz w:val="32"/>
          <w:szCs w:val="32"/>
          <w:lang w:val="zh-CN" w:bidi="ar-SA"/>
        </w:rPr>
        <w:t>/3 年，实行学分制，总学分不少于 1</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zh-CN" w:bidi="ar-SA"/>
        </w:rPr>
        <w:t>/</w:t>
      </w:r>
      <w:r>
        <w:rPr>
          <w:rFonts w:hint="eastAsia" w:ascii="Times New Roman" w:hAnsi="Times New Roman" w:eastAsia="仿宋_GB2312" w:cs="Times New Roman"/>
          <w:kern w:val="2"/>
          <w:sz w:val="32"/>
          <w:szCs w:val="32"/>
          <w:lang w:val="en-US" w:eastAsia="zh-CN" w:bidi="ar-SA"/>
        </w:rPr>
        <w:t>54</w:t>
      </w:r>
      <w:r>
        <w:rPr>
          <w:rFonts w:hint="default" w:ascii="Times New Roman" w:hAnsi="Times New Roman" w:eastAsia="仿宋_GB2312" w:cs="Times New Roman"/>
          <w:kern w:val="2"/>
          <w:sz w:val="32"/>
          <w:szCs w:val="32"/>
          <w:lang w:val="zh-CN" w:bidi="ar-SA"/>
        </w:rPr>
        <w:t>/36 学分，毕业与授予学位按照学校相关文件执行。</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1.5导师队伍</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eastAsia" w:ascii="Times New Roman" w:hAnsi="Times New Roman" w:eastAsia="仿宋_GB2312" w:cs="Times New Roman"/>
          <w:kern w:val="2"/>
          <w:sz w:val="32"/>
          <w:szCs w:val="32"/>
          <w:lang w:val="en-US" w:eastAsia="zh-CN" w:bidi="ar-SA"/>
        </w:rPr>
        <w:t>数学学科</w:t>
      </w:r>
      <w:r>
        <w:rPr>
          <w:rFonts w:hint="default" w:ascii="Times New Roman" w:hAnsi="Times New Roman" w:eastAsia="仿宋_GB2312" w:cs="Times New Roman"/>
          <w:kern w:val="2"/>
          <w:sz w:val="32"/>
          <w:szCs w:val="32"/>
          <w:lang w:val="zh-CN" w:bidi="ar-SA"/>
        </w:rPr>
        <w:t>拥有一支年龄、职称和学历结构合理的教学科研队伍</w:t>
      </w:r>
      <w:r>
        <w:rPr>
          <w:rFonts w:hint="eastAsia" w:ascii="Times New Roman" w:hAnsi="Times New Roman" w:eastAsia="仿宋_GB2312" w:cs="Times New Roman"/>
          <w:kern w:val="2"/>
          <w:sz w:val="32"/>
          <w:szCs w:val="32"/>
          <w:lang w:val="zh-CN" w:bidi="ar-SA"/>
        </w:rPr>
        <w:t>。</w:t>
      </w:r>
      <w:r>
        <w:rPr>
          <w:rFonts w:hint="eastAsia" w:ascii="Times New Roman" w:hAnsi="Times New Roman" w:eastAsia="仿宋_GB2312" w:cs="Times New Roman"/>
          <w:kern w:val="2"/>
          <w:sz w:val="32"/>
          <w:szCs w:val="32"/>
          <w:lang w:val="en-US" w:eastAsia="zh-CN" w:bidi="ar-SA"/>
        </w:rPr>
        <w:t>截止2022年，学院共有</w:t>
      </w:r>
      <w:r>
        <w:rPr>
          <w:rFonts w:hint="default" w:ascii="Times New Roman" w:hAnsi="Times New Roman" w:eastAsia="仿宋_GB2312" w:cs="Times New Roman"/>
          <w:kern w:val="2"/>
          <w:sz w:val="32"/>
          <w:szCs w:val="32"/>
          <w:lang w:eastAsia="zh-CN" w:bidi="ar-SA"/>
        </w:rPr>
        <w:t>博士生导</w:t>
      </w:r>
      <w:r>
        <w:rPr>
          <w:rFonts w:hint="default" w:ascii="Times New Roman" w:hAnsi="Times New Roman" w:eastAsia="仿宋_GB2312" w:cs="Times New Roman"/>
          <w:color w:val="auto"/>
          <w:kern w:val="2"/>
          <w:sz w:val="32"/>
          <w:szCs w:val="32"/>
          <w:lang w:eastAsia="zh-CN" w:bidi="ar-SA"/>
        </w:rPr>
        <w:t>师</w:t>
      </w:r>
      <w:r>
        <w:rPr>
          <w:rFonts w:hint="eastAsia" w:ascii="Times New Roman" w:hAnsi="Times New Roman" w:eastAsia="仿宋_GB2312" w:cs="Times New Roman"/>
          <w:color w:val="auto"/>
          <w:kern w:val="2"/>
          <w:sz w:val="32"/>
          <w:szCs w:val="32"/>
          <w:lang w:val="en-US" w:eastAsia="zh-CN" w:bidi="ar-SA"/>
        </w:rPr>
        <w:t>30</w:t>
      </w:r>
      <w:r>
        <w:rPr>
          <w:rFonts w:hint="default" w:ascii="Times New Roman" w:hAnsi="Times New Roman" w:eastAsia="仿宋_GB2312" w:cs="Times New Roman"/>
          <w:color w:val="auto"/>
          <w:kern w:val="2"/>
          <w:sz w:val="32"/>
          <w:szCs w:val="32"/>
          <w:lang w:eastAsia="zh-CN" w:bidi="ar-SA"/>
        </w:rPr>
        <w:t>人</w:t>
      </w:r>
      <w:r>
        <w:rPr>
          <w:rFonts w:hint="default" w:ascii="Times New Roman" w:hAnsi="Times New Roman" w:eastAsia="仿宋_GB2312" w:cs="Times New Roman"/>
          <w:kern w:val="2"/>
          <w:sz w:val="32"/>
          <w:szCs w:val="32"/>
          <w:lang w:eastAsia="zh-CN" w:bidi="ar-SA"/>
        </w:rPr>
        <w:t>，硕士</w:t>
      </w:r>
      <w:r>
        <w:rPr>
          <w:rFonts w:hint="eastAsia" w:ascii="Times New Roman" w:hAnsi="Times New Roman" w:eastAsia="仿宋_GB2312" w:cs="Times New Roman"/>
          <w:kern w:val="2"/>
          <w:sz w:val="32"/>
          <w:szCs w:val="32"/>
          <w:lang w:val="en-US" w:eastAsia="zh-CN" w:bidi="ar-SA"/>
        </w:rPr>
        <w:t>生导师70</w:t>
      </w:r>
      <w:r>
        <w:rPr>
          <w:rFonts w:hint="default" w:ascii="Times New Roman" w:hAnsi="Times New Roman" w:eastAsia="仿宋_GB2312" w:cs="Times New Roman"/>
          <w:kern w:val="2"/>
          <w:sz w:val="32"/>
          <w:szCs w:val="32"/>
          <w:lang w:val="zh-CN" w:bidi="ar-SA"/>
        </w:rPr>
        <w:t>人，其中教授</w:t>
      </w:r>
      <w:r>
        <w:rPr>
          <w:rFonts w:hint="default" w:ascii="Times New Roman" w:hAnsi="Times New Roman" w:eastAsia="仿宋_GB2312" w:cs="Times New Roman"/>
          <w:kern w:val="2"/>
          <w:sz w:val="32"/>
          <w:szCs w:val="32"/>
          <w:lang w:eastAsia="zh-CN" w:bidi="ar-SA"/>
        </w:rPr>
        <w:t>33</w:t>
      </w:r>
      <w:r>
        <w:rPr>
          <w:rFonts w:hint="default" w:ascii="Times New Roman" w:hAnsi="Times New Roman" w:eastAsia="仿宋_GB2312" w:cs="Times New Roman"/>
          <w:kern w:val="2"/>
          <w:sz w:val="32"/>
          <w:szCs w:val="32"/>
          <w:lang w:val="zh-CN" w:bidi="ar-SA"/>
        </w:rPr>
        <w:t>人、副教授</w:t>
      </w:r>
      <w:r>
        <w:rPr>
          <w:rFonts w:hint="eastAsia" w:ascii="Times New Roman" w:hAnsi="Times New Roman" w:eastAsia="仿宋_GB2312" w:cs="Times New Roman"/>
          <w:kern w:val="2"/>
          <w:sz w:val="32"/>
          <w:szCs w:val="32"/>
          <w:lang w:val="en-US" w:eastAsia="zh-CN" w:bidi="ar-SA"/>
        </w:rPr>
        <w:t>25</w:t>
      </w:r>
      <w:r>
        <w:rPr>
          <w:rFonts w:hint="default" w:ascii="Times New Roman" w:hAnsi="Times New Roman" w:eastAsia="仿宋_GB2312" w:cs="Times New Roman"/>
          <w:kern w:val="2"/>
          <w:sz w:val="32"/>
          <w:szCs w:val="32"/>
          <w:lang w:val="zh-CN" w:bidi="ar-SA"/>
        </w:rPr>
        <w:t>人；包括“万人计划”百千万工程领军人才、国家杰出青年科学基金获得者、</w:t>
      </w:r>
      <w:r>
        <w:rPr>
          <w:rFonts w:hint="eastAsia" w:ascii="Times New Roman" w:hAnsi="Times New Roman" w:eastAsia="仿宋_GB2312" w:cs="Times New Roman"/>
          <w:kern w:val="2"/>
          <w:sz w:val="32"/>
          <w:szCs w:val="32"/>
          <w:lang w:val="en-US" w:eastAsia="zh-CN" w:bidi="ar-SA"/>
        </w:rPr>
        <w:t>湖南省芙蓉教学名师、湖南省百人计划、湖南省芙蓉学者、湖湘高层次人才聚集工程创新人才、湖南省杰出青年基金获得者、</w:t>
      </w:r>
      <w:r>
        <w:rPr>
          <w:rFonts w:hint="default" w:ascii="Times New Roman" w:hAnsi="Times New Roman" w:eastAsia="仿宋_GB2312" w:cs="Times New Roman"/>
          <w:kern w:val="2"/>
          <w:sz w:val="32"/>
          <w:szCs w:val="32"/>
          <w:lang w:val="zh-CN" w:eastAsia="zh-CN" w:bidi="ar-SA"/>
        </w:rPr>
        <w:t>等国家级和省级人才计划30余人。</w:t>
      </w:r>
      <w:r>
        <w:rPr>
          <w:rFonts w:hint="default" w:ascii="Times New Roman" w:hAnsi="Times New Roman" w:eastAsia="仿宋_GB2312" w:cs="Times New Roman"/>
          <w:kern w:val="2"/>
          <w:sz w:val="32"/>
          <w:szCs w:val="32"/>
          <w:lang w:eastAsia="zh-CN" w:bidi="ar-SA"/>
        </w:rPr>
        <w:t>学院是</w:t>
      </w:r>
      <w:r>
        <w:rPr>
          <w:rFonts w:hint="default" w:ascii="Times New Roman" w:hAnsi="Times New Roman" w:eastAsia="仿宋_GB2312" w:cs="Times New Roman"/>
          <w:kern w:val="2"/>
          <w:sz w:val="32"/>
          <w:szCs w:val="32"/>
          <w:lang w:val="zh-CN" w:eastAsia="zh-CN" w:bidi="ar-SA"/>
        </w:rPr>
        <w:t>全国教育系统先进集体、建有</w:t>
      </w:r>
      <w:r>
        <w:rPr>
          <w:rFonts w:hint="eastAsia" w:ascii="Times New Roman" w:hAnsi="Times New Roman" w:eastAsia="仿宋_GB2312" w:cs="Times New Roman"/>
          <w:kern w:val="2"/>
          <w:sz w:val="32"/>
          <w:szCs w:val="32"/>
          <w:lang w:val="en-US" w:eastAsia="zh-CN" w:bidi="ar-SA"/>
        </w:rPr>
        <w:t>“全国高校黄大年式教师团队”</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zh-CN" w:eastAsia="zh-CN" w:bidi="ar-SA"/>
        </w:rPr>
        <w:t>“计算数学”国家级教学团队、“微分方程数值方法与生物计算”教育部创新团队、“偏微分方程数值方法理论及应用”、</w:t>
      </w:r>
      <w:r>
        <w:rPr>
          <w:rFonts w:hint="default" w:ascii="Times New Roman" w:hAnsi="Times New Roman" w:eastAsia="仿宋_GB2312" w:cs="Times New Roman"/>
          <w:kern w:val="2"/>
          <w:sz w:val="32"/>
          <w:szCs w:val="32"/>
          <w:lang w:val="en-US" w:eastAsia="zh-CN" w:bidi="ar-SA"/>
        </w:rPr>
        <w:t>“高效并行算法与解法器”</w:t>
      </w:r>
      <w:r>
        <w:rPr>
          <w:rFonts w:hint="default" w:ascii="Times New Roman" w:hAnsi="Times New Roman" w:eastAsia="仿宋_GB2312" w:cs="Times New Roman"/>
          <w:kern w:val="2"/>
          <w:sz w:val="32"/>
          <w:szCs w:val="32"/>
          <w:lang w:val="zh-CN" w:eastAsia="zh-CN" w:bidi="ar-SA"/>
        </w:rPr>
        <w:t>湖南省优秀研究生导师团队等教学科研团队。</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1.6科学研究</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瞄准世界科技前沿，面向国家战略需求，紧密围绕数学基础理论和共性基础算法等核心问题开展研究，形成了多个长期稳定的、特色鲜明与优势明显的研究方向</w:t>
      </w:r>
      <w:r>
        <w:rPr>
          <w:rFonts w:hint="default" w:ascii="Times New Roman" w:hAnsi="Times New Roman" w:eastAsia="仿宋_GB2312" w:cs="Times New Roman"/>
          <w:kern w:val="2"/>
          <w:sz w:val="32"/>
          <w:szCs w:val="32"/>
          <w:lang w:eastAsia="zh-CN" w:bidi="ar-SA"/>
        </w:rPr>
        <w:t>。</w:t>
      </w:r>
      <w:r>
        <w:rPr>
          <w:rFonts w:hint="eastAsia" w:ascii="Times New Roman" w:hAnsi="Times New Roman" w:eastAsia="仿宋_GB2312" w:cs="Times New Roman"/>
          <w:kern w:val="2"/>
          <w:sz w:val="32"/>
          <w:szCs w:val="32"/>
          <w:lang w:val="en-US" w:eastAsia="zh-CN" w:bidi="ar-SA"/>
        </w:rPr>
        <w:t>建有全国首批国家应用数学中心—湖南国家应用数学中心、“智能计算与信息处理”教育部重点实验室、“科学工程计算与数值仿真”湖南省重点实验室、“国防科技数值算法与模拟” 湖南省国防科技重点实验室、“计算科学”湖南省科技创新国际合作基地和湖南省海智基地</w:t>
      </w:r>
      <w:r>
        <w:rPr>
          <w:rFonts w:hint="default" w:ascii="Times New Roman" w:hAnsi="Times New Roman" w:eastAsia="仿宋_GB2312" w:cs="Times New Roman"/>
          <w:kern w:val="2"/>
          <w:sz w:val="32"/>
          <w:szCs w:val="32"/>
          <w:lang w:val="en-US" w:eastAsia="zh-CN" w:bidi="ar-SA"/>
        </w:rPr>
        <w:t>，已建成研究平台支撑作用逐步突显。202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年承担各类科研项目</w:t>
      </w:r>
      <w:r>
        <w:rPr>
          <w:rFonts w:hint="eastAsia" w:ascii="Times New Roman" w:hAnsi="Times New Roman" w:eastAsia="仿宋_GB2312" w:cs="Times New Roman"/>
          <w:kern w:val="2"/>
          <w:sz w:val="32"/>
          <w:szCs w:val="32"/>
          <w:lang w:val="en-US" w:eastAsia="zh-CN" w:bidi="ar-SA"/>
        </w:rPr>
        <w:t>90余</w:t>
      </w:r>
      <w:r>
        <w:rPr>
          <w:rFonts w:hint="default" w:ascii="Times New Roman" w:hAnsi="Times New Roman" w:eastAsia="仿宋_GB2312" w:cs="Times New Roman"/>
          <w:kern w:val="2"/>
          <w:sz w:val="32"/>
          <w:szCs w:val="32"/>
          <w:lang w:val="en-US" w:eastAsia="zh-CN" w:bidi="ar-SA"/>
        </w:rPr>
        <w:t>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在</w:t>
      </w:r>
      <w:r>
        <w:rPr>
          <w:rFonts w:hint="default" w:ascii="Times New Roman" w:hAnsi="Times New Roman" w:eastAsia="仿宋_GB2312" w:cs="Times New Roman"/>
          <w:kern w:val="2"/>
          <w:sz w:val="32"/>
          <w:szCs w:val="32"/>
          <w:lang w:eastAsia="zh-CN" w:bidi="ar-SA"/>
        </w:rPr>
        <w:t>相关</w:t>
      </w:r>
      <w:r>
        <w:rPr>
          <w:rFonts w:hint="default" w:ascii="Times New Roman" w:hAnsi="Times New Roman" w:eastAsia="仿宋_GB2312" w:cs="Times New Roman"/>
          <w:kern w:val="2"/>
          <w:sz w:val="32"/>
          <w:szCs w:val="32"/>
          <w:lang w:val="en-US" w:eastAsia="zh-CN" w:bidi="ar-SA"/>
        </w:rPr>
        <w:t>领域高水平期刊发表论文</w:t>
      </w:r>
      <w:r>
        <w:rPr>
          <w:rFonts w:hint="eastAsia" w:ascii="Times New Roman" w:hAnsi="Times New Roman" w:eastAsia="仿宋_GB2312" w:cs="Times New Roman"/>
          <w:kern w:val="2"/>
          <w:sz w:val="32"/>
          <w:szCs w:val="32"/>
          <w:lang w:val="en-US" w:eastAsia="zh-CN" w:bidi="ar-SA"/>
        </w:rPr>
        <w:t>140</w:t>
      </w:r>
      <w:r>
        <w:rPr>
          <w:rFonts w:hint="default" w:ascii="Times New Roman" w:hAnsi="Times New Roman" w:eastAsia="仿宋_GB2312" w:cs="Times New Roman"/>
          <w:kern w:val="2"/>
          <w:sz w:val="32"/>
          <w:szCs w:val="32"/>
          <w:lang w:val="en-US" w:eastAsia="zh-CN" w:bidi="ar-SA"/>
        </w:rPr>
        <w:t>余篇</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 人才培养</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.7.1</w:t>
      </w:r>
      <w:r>
        <w:rPr>
          <w:rFonts w:hint="default" w:ascii="Times New Roman" w:hAnsi="Times New Roman" w:eastAsia="仿宋_GB2312" w:cs="Times New Roman"/>
          <w:kern w:val="2"/>
          <w:sz w:val="32"/>
          <w:szCs w:val="32"/>
          <w:lang w:val="en-US" w:eastAsia="zh-CN" w:bidi="ar-SA"/>
        </w:rPr>
        <w:t>招生选拔</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zh-CN" w:eastAsia="zh-CN" w:bidi="ar-SA"/>
        </w:rPr>
        <w:t>就业发展</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zh-CN" w:bidi="ar-SA"/>
        </w:rPr>
      </w:pPr>
      <w:r>
        <w:rPr>
          <w:rFonts w:hint="eastAsia" w:ascii="Times New Roman" w:hAnsi="Times New Roman" w:eastAsia="仿宋_GB2312" w:cs="Times New Roman"/>
          <w:kern w:val="2"/>
          <w:sz w:val="32"/>
          <w:szCs w:val="32"/>
          <w:lang w:val="en-US" w:eastAsia="zh-CN" w:bidi="ar-SA"/>
        </w:rPr>
        <w:t>2022年学位点录取博士研究生55人、硕士研究生139名，其中本科推免生1人、留学生1人。2022年在读博士研究生126</w:t>
      </w:r>
      <w:r>
        <w:rPr>
          <w:rFonts w:hint="default" w:ascii="Times New Roman" w:hAnsi="Times New Roman" w:eastAsia="仿宋_GB2312" w:cs="Times New Roman"/>
          <w:kern w:val="2"/>
          <w:sz w:val="32"/>
          <w:szCs w:val="32"/>
          <w:lang w:val="en-US" w:eastAsia="zh-CN" w:bidi="ar-SA"/>
        </w:rPr>
        <w:t>名、硕士研究生</w:t>
      </w:r>
      <w:r>
        <w:rPr>
          <w:rFonts w:hint="eastAsia" w:ascii="Times New Roman" w:hAnsi="Times New Roman" w:eastAsia="仿宋_GB2312" w:cs="Times New Roman"/>
          <w:kern w:val="2"/>
          <w:sz w:val="32"/>
          <w:szCs w:val="32"/>
          <w:lang w:val="en-US" w:eastAsia="zh-CN" w:bidi="ar-SA"/>
        </w:rPr>
        <w:t>309</w:t>
      </w:r>
      <w:r>
        <w:rPr>
          <w:rFonts w:hint="default" w:ascii="Times New Roman" w:hAnsi="Times New Roman" w:eastAsia="仿宋_GB2312" w:cs="Times New Roman"/>
          <w:kern w:val="2"/>
          <w:sz w:val="32"/>
          <w:szCs w:val="32"/>
          <w:lang w:val="en-US" w:eastAsia="zh-CN" w:bidi="ar-SA"/>
        </w:rPr>
        <w:t>名、留学生</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名。202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年毕业</w:t>
      </w:r>
      <w:r>
        <w:rPr>
          <w:rFonts w:hint="eastAsia" w:ascii="Times New Roman" w:hAnsi="Times New Roman" w:eastAsia="仿宋_GB2312" w:cs="Times New Roman"/>
          <w:kern w:val="2"/>
          <w:sz w:val="32"/>
          <w:szCs w:val="32"/>
          <w:lang w:val="en-US" w:eastAsia="zh-CN" w:bidi="ar-SA"/>
        </w:rPr>
        <w:t>及授予博士</w:t>
      </w:r>
      <w:r>
        <w:rPr>
          <w:rFonts w:hint="default" w:ascii="Times New Roman" w:hAnsi="Times New Roman" w:eastAsia="仿宋_GB2312" w:cs="Times New Roman"/>
          <w:kern w:val="2"/>
          <w:sz w:val="32"/>
          <w:szCs w:val="32"/>
          <w:lang w:val="en-US" w:eastAsia="zh-CN" w:bidi="ar-SA"/>
        </w:rPr>
        <w:t>研究生</w:t>
      </w: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名、硕士研究生</w:t>
      </w:r>
      <w:r>
        <w:rPr>
          <w:rFonts w:hint="eastAsia" w:ascii="Times New Roman" w:hAnsi="Times New Roman" w:eastAsia="仿宋_GB2312" w:cs="Times New Roman"/>
          <w:kern w:val="2"/>
          <w:sz w:val="32"/>
          <w:szCs w:val="32"/>
          <w:lang w:val="en-US" w:eastAsia="zh-CN" w:bidi="ar-SA"/>
        </w:rPr>
        <w:t>61</w:t>
      </w:r>
      <w:r>
        <w:rPr>
          <w:rFonts w:hint="default" w:ascii="Times New Roman" w:hAnsi="Times New Roman" w:eastAsia="仿宋_GB2312" w:cs="Times New Roman"/>
          <w:kern w:val="2"/>
          <w:sz w:val="32"/>
          <w:szCs w:val="32"/>
          <w:lang w:val="en-US" w:eastAsia="zh-CN" w:bidi="ar-SA"/>
        </w:rPr>
        <w:t>名</w:t>
      </w:r>
      <w:r>
        <w:rPr>
          <w:rFonts w:hint="eastAsia" w:ascii="Times New Roman" w:hAnsi="Times New Roman" w:eastAsia="仿宋_GB2312" w:cs="Times New Roman"/>
          <w:kern w:val="2"/>
          <w:sz w:val="32"/>
          <w:szCs w:val="32"/>
          <w:lang w:val="en-US" w:eastAsia="zh-CN" w:bidi="ar-SA"/>
        </w:rPr>
        <w:t>，其中24</w:t>
      </w:r>
      <w:r>
        <w:rPr>
          <w:rFonts w:hint="default" w:ascii="Times New Roman" w:hAnsi="Times New Roman" w:eastAsia="仿宋_GB2312" w:cs="Times New Roman"/>
          <w:kern w:val="2"/>
          <w:sz w:val="32"/>
          <w:szCs w:val="32"/>
          <w:lang w:val="zh-CN" w:eastAsia="zh-CN" w:bidi="ar-SA"/>
        </w:rPr>
        <w:t>名本校优秀硕士生转为硕博连读博士生</w:t>
      </w:r>
      <w:r>
        <w:rPr>
          <w:rFonts w:hint="eastAsia" w:ascii="Times New Roman" w:hAnsi="Times New Roman" w:eastAsia="仿宋_GB2312" w:cs="Times New Roman"/>
          <w:kern w:val="2"/>
          <w:sz w:val="32"/>
          <w:szCs w:val="32"/>
          <w:lang w:val="zh-CN" w:eastAsia="zh-CN" w:bidi="ar-SA"/>
        </w:rPr>
        <w:t>，</w:t>
      </w:r>
      <w:bookmarkStart w:id="0" w:name="_GoBack"/>
      <w:r>
        <w:rPr>
          <w:rFonts w:hint="default" w:ascii="Times New Roman" w:hAnsi="Times New Roman" w:eastAsia="仿宋_GB2312" w:cs="Times New Roman"/>
          <w:color w:val="auto"/>
          <w:kern w:val="2"/>
          <w:sz w:val="32"/>
          <w:szCs w:val="32"/>
          <w:lang w:val="zh-CN" w:bidi="ar-SA"/>
        </w:rPr>
        <w:t>平均年底就业率约为</w:t>
      </w:r>
      <w:r>
        <w:rPr>
          <w:rFonts w:hint="default" w:ascii="Times New Roman" w:hAnsi="Times New Roman" w:eastAsia="仿宋_GB2312" w:cs="Times New Roman"/>
          <w:color w:val="auto"/>
          <w:kern w:val="2"/>
          <w:sz w:val="32"/>
          <w:szCs w:val="32"/>
          <w:highlight w:val="none"/>
          <w:lang w:val="zh-CN" w:bidi="ar-SA"/>
        </w:rPr>
        <w:t>9</w:t>
      </w:r>
      <w:r>
        <w:rPr>
          <w:rFonts w:hint="eastAsia" w:ascii="Times New Roman" w:hAnsi="Times New Roman" w:eastAsia="仿宋_GB2312" w:cs="Times New Roman"/>
          <w:color w:val="auto"/>
          <w:kern w:val="2"/>
          <w:sz w:val="32"/>
          <w:szCs w:val="32"/>
          <w:highlight w:val="none"/>
          <w:lang w:val="en-US" w:eastAsia="zh-CN" w:bidi="ar-SA"/>
        </w:rPr>
        <w:t>4.73</w:t>
      </w:r>
      <w:r>
        <w:rPr>
          <w:rFonts w:hint="default" w:ascii="Times New Roman" w:hAnsi="Times New Roman" w:eastAsia="仿宋_GB2312" w:cs="Times New Roman"/>
          <w:color w:val="auto"/>
          <w:kern w:val="2"/>
          <w:sz w:val="32"/>
          <w:szCs w:val="32"/>
          <w:highlight w:val="none"/>
          <w:lang w:val="zh-CN" w:bidi="ar-SA"/>
        </w:rPr>
        <w:t>%。</w:t>
      </w:r>
    </w:p>
    <w:bookmarkEnd w:id="0"/>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.7.2</w:t>
      </w:r>
      <w:r>
        <w:rPr>
          <w:rFonts w:hint="default" w:ascii="Times New Roman" w:hAnsi="Times New Roman" w:eastAsia="仿宋_GB2312" w:cs="Times New Roman"/>
          <w:kern w:val="2"/>
          <w:sz w:val="32"/>
          <w:szCs w:val="32"/>
          <w:lang w:val="en-US" w:eastAsia="zh-CN" w:bidi="ar-SA"/>
        </w:rPr>
        <w:t>思政教育</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学院</w:t>
      </w:r>
      <w:r>
        <w:rPr>
          <w:rFonts w:hint="default" w:ascii="Times New Roman" w:hAnsi="Times New Roman" w:eastAsia="仿宋_GB2312" w:cs="Times New Roman"/>
          <w:kern w:val="2"/>
          <w:sz w:val="32"/>
          <w:szCs w:val="32"/>
          <w:lang w:val="en-US" w:eastAsia="zh-CN" w:bidi="ar-SA"/>
        </w:rPr>
        <w:t>以习近平新时代中国特色社会主义思想为指导，</w:t>
      </w:r>
      <w:r>
        <w:rPr>
          <w:rFonts w:hint="default" w:ascii="Times New Roman" w:hAnsi="Times New Roman" w:eastAsia="仿宋_GB2312" w:cs="Times New Roman"/>
          <w:kern w:val="2"/>
          <w:sz w:val="32"/>
          <w:szCs w:val="32"/>
          <w:lang w:val="zh-CN" w:eastAsia="zh-CN" w:bidi="ar-SA"/>
        </w:rPr>
        <w:t>依托学校红色基因，始终坚持“牢记嘱托守初心、立德树人担使命、凝练特色创一流”，定期举办“师道大讲堂”“课程思政思享会”“教学示范课”等活动，引领教师以德立身、以德立学、以德立教，切实落实“三全育人”重点任务和各项工作，是全国教育系统先进集体、</w:t>
      </w:r>
      <w:r>
        <w:rPr>
          <w:rFonts w:hint="eastAsia" w:ascii="Times New Roman" w:hAnsi="Times New Roman" w:eastAsia="仿宋_GB2312" w:cs="Times New Roman"/>
          <w:kern w:val="2"/>
          <w:sz w:val="32"/>
          <w:szCs w:val="32"/>
          <w:lang w:val="en-US" w:eastAsia="zh-CN" w:bidi="ar-SA"/>
        </w:rPr>
        <w:t>全国党建工作“标杆院系”培育创建单位</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通过加强研究生党支部建设，改进研究生教风学风，健全院、</w:t>
      </w:r>
      <w:r>
        <w:rPr>
          <w:rFonts w:hint="default" w:ascii="Times New Roman" w:hAnsi="Times New Roman" w:eastAsia="仿宋_GB2312" w:cs="Times New Roman"/>
          <w:kern w:val="2"/>
          <w:sz w:val="32"/>
          <w:szCs w:val="32"/>
          <w:lang w:eastAsia="zh-CN" w:bidi="ar-SA"/>
        </w:rPr>
        <w:t>学位点、</w:t>
      </w:r>
      <w:r>
        <w:rPr>
          <w:rFonts w:hint="default" w:ascii="Times New Roman" w:hAnsi="Times New Roman" w:eastAsia="仿宋_GB2312" w:cs="Times New Roman"/>
          <w:kern w:val="2"/>
          <w:sz w:val="32"/>
          <w:szCs w:val="32"/>
          <w:lang w:val="en-US" w:eastAsia="zh-CN" w:bidi="ar-SA"/>
        </w:rPr>
        <w:t>研究生</w:t>
      </w:r>
      <w:r>
        <w:rPr>
          <w:rFonts w:hint="default" w:ascii="Times New Roman" w:hAnsi="Times New Roman" w:eastAsia="仿宋_GB2312" w:cs="Times New Roman"/>
          <w:kern w:val="2"/>
          <w:sz w:val="32"/>
          <w:szCs w:val="32"/>
          <w:lang w:eastAsia="zh-CN" w:bidi="ar-SA"/>
        </w:rPr>
        <w:t>导师团队和</w:t>
      </w:r>
      <w:r>
        <w:rPr>
          <w:rFonts w:hint="default" w:ascii="Times New Roman" w:hAnsi="Times New Roman" w:eastAsia="仿宋_GB2312" w:cs="Times New Roman"/>
          <w:kern w:val="2"/>
          <w:sz w:val="32"/>
          <w:szCs w:val="32"/>
          <w:lang w:val="en-US" w:eastAsia="zh-CN" w:bidi="ar-SA"/>
        </w:rPr>
        <w:t>导师协同育人体系，</w:t>
      </w:r>
      <w:r>
        <w:rPr>
          <w:rFonts w:hint="eastAsia" w:ascii="Times New Roman" w:hAnsi="Times New Roman" w:eastAsia="仿宋_GB2312" w:cs="Times New Roman"/>
          <w:kern w:val="2"/>
          <w:sz w:val="32"/>
          <w:szCs w:val="32"/>
          <w:lang w:val="en-US" w:eastAsia="zh-CN" w:bidi="ar-SA"/>
        </w:rPr>
        <w:t>多名研究生获湖南省大学生优秀党员、湖南省优秀毕业生。</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.7.3</w:t>
      </w:r>
      <w:r>
        <w:rPr>
          <w:rFonts w:hint="default" w:ascii="Times New Roman" w:hAnsi="Times New Roman" w:eastAsia="仿宋_GB2312" w:cs="Times New Roman"/>
          <w:kern w:val="2"/>
          <w:sz w:val="32"/>
          <w:szCs w:val="32"/>
          <w:lang w:val="en-US" w:eastAsia="zh-CN" w:bidi="ar-SA"/>
        </w:rPr>
        <w:t>课程教学</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TW" w:bidi="ar-SA"/>
        </w:rPr>
      </w:pPr>
      <w:r>
        <w:rPr>
          <w:rFonts w:hint="default" w:ascii="Times New Roman" w:hAnsi="Times New Roman" w:eastAsia="仿宋_GB2312" w:cs="Times New Roman"/>
          <w:kern w:val="2"/>
          <w:sz w:val="32"/>
          <w:szCs w:val="32"/>
          <w:lang w:val="en-US" w:eastAsia="zh-CN" w:bidi="ar-SA"/>
        </w:rPr>
        <w:t>学院始终高度重视研究生课程建设，</w:t>
      </w:r>
      <w:r>
        <w:rPr>
          <w:rFonts w:hint="default" w:ascii="Times New Roman" w:hAnsi="Times New Roman" w:eastAsia="仿宋_GB2312" w:cs="Times New Roman"/>
          <w:kern w:val="2"/>
          <w:sz w:val="32"/>
          <w:szCs w:val="32"/>
          <w:lang w:eastAsia="zh-CN" w:bidi="ar-SA"/>
        </w:rPr>
        <w:t>近年来，依</w:t>
      </w:r>
      <w:r>
        <w:rPr>
          <w:rFonts w:hint="default" w:ascii="Times New Roman" w:hAnsi="Times New Roman" w:eastAsia="仿宋_GB2312" w:cs="Times New Roman"/>
          <w:kern w:val="2"/>
          <w:sz w:val="32"/>
          <w:szCs w:val="32"/>
          <w:lang w:eastAsia="zh-TW" w:bidi="ar-SA"/>
        </w:rPr>
        <w:t>据教育部</w:t>
      </w:r>
      <w:r>
        <w:rPr>
          <w:rFonts w:hint="default" w:ascii="Times New Roman" w:hAnsi="Times New Roman" w:eastAsia="仿宋_GB2312" w:cs="Times New Roman"/>
          <w:kern w:val="2"/>
          <w:sz w:val="32"/>
          <w:szCs w:val="32"/>
          <w:lang w:val="zh-CN" w:eastAsia="zh-TW" w:bidi="ar-SA"/>
        </w:rPr>
        <w:t>《关于改进和加强研究生课程建设的意见》，规范和推进研究生课程建设，提升研究生课程质量和教学水平</w:t>
      </w:r>
      <w:r>
        <w:rPr>
          <w:rFonts w:hint="default" w:ascii="Times New Roman" w:hAnsi="Times New Roman" w:eastAsia="仿宋_GB2312" w:cs="Times New Roman"/>
          <w:kern w:val="2"/>
          <w:sz w:val="32"/>
          <w:szCs w:val="32"/>
          <w:lang w:eastAsia="zh-TW" w:bidi="ar-SA"/>
        </w:rPr>
        <w:t>，</w:t>
      </w:r>
      <w:r>
        <w:rPr>
          <w:rFonts w:hint="default" w:ascii="Times New Roman" w:hAnsi="Times New Roman" w:eastAsia="仿宋_GB2312" w:cs="Times New Roman"/>
          <w:kern w:val="2"/>
          <w:sz w:val="32"/>
          <w:szCs w:val="32"/>
          <w:lang w:val="zh-CN" w:eastAsia="zh-TW" w:bidi="ar-SA"/>
        </w:rPr>
        <w:t>抓好课堂教学、突出专业特色建设</w:t>
      </w:r>
      <w:r>
        <w:rPr>
          <w:rFonts w:hint="default" w:ascii="Times New Roman" w:hAnsi="Times New Roman" w:eastAsia="仿宋_GB2312" w:cs="Times New Roman"/>
          <w:kern w:val="2"/>
          <w:sz w:val="32"/>
          <w:szCs w:val="32"/>
          <w:lang w:eastAsia="zh-TW" w:bidi="ar-SA"/>
        </w:rPr>
        <w:t>等</w:t>
      </w:r>
      <w:r>
        <w:rPr>
          <w:rFonts w:hint="default" w:ascii="Times New Roman" w:hAnsi="Times New Roman" w:eastAsia="仿宋_GB2312" w:cs="Times New Roman"/>
          <w:kern w:val="2"/>
          <w:sz w:val="32"/>
          <w:szCs w:val="32"/>
          <w:lang w:val="zh-CN" w:eastAsia="zh-TW" w:bidi="ar-SA"/>
        </w:rPr>
        <w:t>。</w:t>
      </w:r>
      <w:r>
        <w:rPr>
          <w:rFonts w:hint="default" w:ascii="Times New Roman" w:hAnsi="Times New Roman" w:eastAsia="仿宋_GB2312" w:cs="Times New Roman"/>
          <w:kern w:val="2"/>
          <w:sz w:val="32"/>
          <w:szCs w:val="32"/>
          <w:lang w:val="zh-TW" w:eastAsia="zh-TW" w:bidi="ar-SA"/>
        </w:rPr>
        <w:t>学位授权点围绕</w:t>
      </w:r>
      <w:r>
        <w:rPr>
          <w:rFonts w:hint="default" w:ascii="Times New Roman" w:hAnsi="Times New Roman" w:eastAsia="仿宋_GB2312" w:cs="Times New Roman"/>
          <w:kern w:val="2"/>
          <w:sz w:val="32"/>
          <w:szCs w:val="32"/>
          <w:lang w:val="en-US" w:eastAsia="zh-TW" w:bidi="ar-SA"/>
        </w:rPr>
        <w:t>“</w:t>
      </w:r>
      <w:r>
        <w:rPr>
          <w:rFonts w:hint="eastAsia" w:ascii="Times New Roman" w:hAnsi="Times New Roman" w:eastAsia="仿宋_GB2312" w:cs="Times New Roman"/>
          <w:kern w:val="2"/>
          <w:sz w:val="32"/>
          <w:szCs w:val="32"/>
          <w:lang w:val="en-US" w:eastAsia="zh-CN" w:bidi="ar-SA"/>
        </w:rPr>
        <w:t>夯实学科基础、提升创新能力，提高培养质量</w:t>
      </w:r>
      <w:r>
        <w:rPr>
          <w:rFonts w:hint="default" w:ascii="Times New Roman" w:hAnsi="Times New Roman" w:eastAsia="仿宋_GB2312" w:cs="Times New Roman"/>
          <w:kern w:val="2"/>
          <w:sz w:val="32"/>
          <w:szCs w:val="32"/>
          <w:lang w:val="en-US" w:eastAsia="zh-TW" w:bidi="ar-SA"/>
        </w:rPr>
        <w:t>”</w:t>
      </w:r>
      <w:r>
        <w:rPr>
          <w:rFonts w:hint="default" w:ascii="Times New Roman" w:hAnsi="Times New Roman" w:eastAsia="仿宋_GB2312" w:cs="Times New Roman"/>
          <w:kern w:val="2"/>
          <w:sz w:val="32"/>
          <w:szCs w:val="32"/>
          <w:lang w:val="zh-TW" w:eastAsia="zh-TW" w:bidi="ar-SA"/>
        </w:rPr>
        <w:t>根本目标，</w:t>
      </w:r>
      <w:r>
        <w:rPr>
          <w:rFonts w:hint="default" w:ascii="Times New Roman" w:hAnsi="Times New Roman" w:eastAsia="仿宋_GB2312" w:cs="Times New Roman"/>
          <w:kern w:val="2"/>
          <w:sz w:val="32"/>
          <w:szCs w:val="32"/>
          <w:lang w:eastAsia="zh-TW" w:bidi="ar-SA"/>
        </w:rPr>
        <w:t>持续优化课程体系、改革教学内容，</w:t>
      </w:r>
      <w:r>
        <w:rPr>
          <w:rFonts w:hint="default" w:ascii="Times New Roman" w:hAnsi="Times New Roman" w:eastAsia="仿宋_GB2312" w:cs="Times New Roman"/>
          <w:kern w:val="2"/>
          <w:sz w:val="32"/>
          <w:szCs w:val="32"/>
          <w:lang w:val="en-US" w:eastAsia="zh-CN" w:bidi="ar-SA"/>
        </w:rPr>
        <w:t>按一级学科统筹设置硕士、博士研究生课程</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加强研究生教育教学改革研究。结合学校研究生教育教学改革研究课题工作，大力支持一线教师开展教学改革研究</w:t>
      </w:r>
      <w:r>
        <w:rPr>
          <w:rFonts w:hint="default" w:ascii="Times New Roman" w:hAnsi="Times New Roman" w:eastAsia="仿宋_GB2312" w:cs="Times New Roman"/>
          <w:kern w:val="2"/>
          <w:sz w:val="32"/>
          <w:szCs w:val="32"/>
          <w:lang w:eastAsia="zh-TW" w:bidi="ar-SA"/>
        </w:rPr>
        <w:t>。</w:t>
      </w:r>
      <w:r>
        <w:rPr>
          <w:rFonts w:hint="default" w:ascii="Times New Roman" w:hAnsi="Times New Roman" w:eastAsia="仿宋_GB2312" w:cs="Times New Roman"/>
          <w:kern w:val="2"/>
          <w:sz w:val="32"/>
          <w:szCs w:val="32"/>
          <w:lang w:val="zh-TW" w:eastAsia="zh-TW" w:bidi="ar-SA"/>
        </w:rPr>
        <w:t>重视研究生课程建设和研究生</w:t>
      </w:r>
      <w:r>
        <w:rPr>
          <w:rFonts w:hint="default" w:ascii="Times New Roman" w:hAnsi="Times New Roman" w:eastAsia="仿宋_GB2312" w:cs="Times New Roman"/>
          <w:kern w:val="2"/>
          <w:sz w:val="32"/>
          <w:szCs w:val="32"/>
          <w:lang w:val="zh-CN" w:eastAsia="zh-TW" w:bidi="ar-SA"/>
        </w:rPr>
        <w:t>各</w:t>
      </w:r>
      <w:r>
        <w:rPr>
          <w:rFonts w:hint="default" w:ascii="Times New Roman" w:hAnsi="Times New Roman" w:eastAsia="仿宋_GB2312" w:cs="Times New Roman"/>
          <w:kern w:val="2"/>
          <w:sz w:val="32"/>
          <w:szCs w:val="32"/>
          <w:lang w:val="zh-TW" w:eastAsia="zh-TW" w:bidi="ar-SA"/>
        </w:rPr>
        <w:t>培养环节的质量保障，通过一系列课程教学改革以及质量督导，取得了明显的成效。</w:t>
      </w:r>
      <w:r>
        <w:rPr>
          <w:rFonts w:hint="default" w:ascii="Times New Roman" w:hAnsi="Times New Roman" w:eastAsia="仿宋_GB2312" w:cs="Times New Roman"/>
          <w:kern w:val="2"/>
          <w:sz w:val="32"/>
          <w:szCs w:val="32"/>
          <w:lang w:eastAsia="zh-TW" w:bidi="ar-SA"/>
        </w:rPr>
        <w:t>获湖南省高等教育教学成果奖二等奖一项。</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zh-TW" w:eastAsia="zh-TW" w:bidi="ar-SA"/>
        </w:rPr>
        <w:t>以教学科研突出的(副)教授为课程负责人，选拔优秀青年导师任辅讲教师，形成结构合理的课程教学团队。开设了系列学位课程、研究方向课和专题讨论课。聘请国内外著名学者开设短期前沿课程，帮助研究生尽快接触并投入前沿课题</w:t>
      </w:r>
      <w:r>
        <w:rPr>
          <w:rFonts w:hint="default" w:ascii="Times New Roman" w:hAnsi="Times New Roman" w:eastAsia="仿宋_GB2312" w:cs="Times New Roman"/>
          <w:kern w:val="2"/>
          <w:sz w:val="32"/>
          <w:szCs w:val="32"/>
          <w:lang w:val="zh-CN" w:eastAsia="zh-TW" w:bidi="ar-SA"/>
        </w:rPr>
        <w:t>；举办了“</w:t>
      </w:r>
      <w:r>
        <w:rPr>
          <w:rFonts w:hint="eastAsia" w:ascii="Times New Roman" w:hAnsi="Times New Roman" w:eastAsia="仿宋_GB2312" w:cs="Times New Roman"/>
          <w:kern w:val="2"/>
          <w:sz w:val="32"/>
          <w:szCs w:val="32"/>
          <w:lang w:val="en-US" w:eastAsia="zh-CN" w:bidi="ar-SA"/>
        </w:rPr>
        <w:t>非线性偏微分方程</w:t>
      </w:r>
      <w:r>
        <w:rPr>
          <w:rFonts w:hint="default" w:ascii="Times New Roman" w:hAnsi="Times New Roman" w:eastAsia="仿宋_GB2312" w:cs="Times New Roman"/>
          <w:kern w:val="2"/>
          <w:sz w:val="32"/>
          <w:szCs w:val="32"/>
          <w:lang w:val="zh-CN" w:eastAsia="zh-TW" w:bidi="ar-SA"/>
        </w:rPr>
        <w:t>”暑期学校</w:t>
      </w:r>
      <w:r>
        <w:rPr>
          <w:rFonts w:hint="eastAsia" w:ascii="Times New Roman" w:hAnsi="Times New Roman" w:eastAsia="仿宋_GB2312" w:cs="Times New Roman"/>
          <w:kern w:val="2"/>
          <w:sz w:val="32"/>
          <w:szCs w:val="32"/>
          <w:lang w:val="en-US" w:eastAsia="zh-CN" w:bidi="ar-SA"/>
        </w:rPr>
        <w:t>和</w:t>
      </w:r>
      <w:r>
        <w:rPr>
          <w:rFonts w:hint="eastAsia"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zh-TW" w:eastAsia="zh-TW" w:bidi="ar-SA"/>
        </w:rPr>
        <w:t>数值代数与快速算法</w:t>
      </w:r>
      <w:r>
        <w:rPr>
          <w:rFonts w:hint="eastAsia" w:ascii="Times New Roman" w:hAnsi="Times New Roman" w:eastAsia="仿宋_GB2312" w:cs="Times New Roman"/>
          <w:kern w:val="2"/>
          <w:sz w:val="32"/>
          <w:szCs w:val="32"/>
          <w:lang w:val="zh-TW" w:eastAsia="zh-TW" w:bidi="ar-SA"/>
        </w:rPr>
        <w:t>”湖南省</w:t>
      </w:r>
      <w:r>
        <w:rPr>
          <w:rFonts w:hint="default" w:ascii="Times New Roman" w:hAnsi="Times New Roman" w:eastAsia="仿宋_GB2312" w:cs="Times New Roman"/>
          <w:kern w:val="2"/>
          <w:sz w:val="32"/>
          <w:szCs w:val="32"/>
          <w:lang w:val="zh-TW" w:eastAsia="zh-TW" w:bidi="ar-SA"/>
        </w:rPr>
        <w:t>研究生创新论坛</w:t>
      </w:r>
      <w:r>
        <w:rPr>
          <w:rFonts w:hint="eastAsia" w:ascii="Times New Roman" w:hAnsi="Times New Roman" w:eastAsia="仿宋_GB2312" w:cs="Times New Roman"/>
          <w:kern w:val="2"/>
          <w:sz w:val="32"/>
          <w:szCs w:val="32"/>
          <w:lang w:val="zh-TW" w:eastAsia="zh-CN" w:bidi="ar-SA"/>
        </w:rPr>
        <w:t>。</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严格按照学校相关规章制度对研究生培养各环节进行跟踪检查，</w:t>
      </w:r>
      <w:r>
        <w:rPr>
          <w:rFonts w:hint="default" w:ascii="Times New Roman" w:hAnsi="Times New Roman" w:eastAsia="仿宋_GB2312" w:cs="Times New Roman"/>
          <w:kern w:val="2"/>
          <w:sz w:val="32"/>
          <w:szCs w:val="32"/>
          <w:lang w:val="zh-TW" w:eastAsia="zh-TW" w:bidi="ar-SA"/>
        </w:rPr>
        <w:t>严格执行</w:t>
      </w:r>
      <w:r>
        <w:rPr>
          <w:rFonts w:hint="default" w:ascii="Times New Roman" w:hAnsi="Times New Roman" w:eastAsia="仿宋_GB2312" w:cs="Times New Roman"/>
          <w:kern w:val="2"/>
          <w:sz w:val="32"/>
          <w:szCs w:val="32"/>
          <w:lang w:val="zh-CN" w:eastAsia="zh-TW" w:bidi="ar-SA"/>
        </w:rPr>
        <w:t>学位论文</w:t>
      </w:r>
      <w:r>
        <w:rPr>
          <w:rFonts w:hint="default" w:ascii="Times New Roman" w:hAnsi="Times New Roman" w:eastAsia="仿宋_GB2312" w:cs="Times New Roman"/>
          <w:kern w:val="2"/>
          <w:sz w:val="32"/>
          <w:szCs w:val="32"/>
          <w:lang w:val="zh-TW" w:eastAsia="zh-TW" w:bidi="ar-SA"/>
        </w:rPr>
        <w:t>开题报告、中期考核、预答辩</w:t>
      </w:r>
      <w:r>
        <w:rPr>
          <w:rFonts w:hint="default" w:ascii="Times New Roman" w:hAnsi="Times New Roman" w:eastAsia="仿宋_GB2312" w:cs="Times New Roman"/>
          <w:kern w:val="2"/>
          <w:sz w:val="32"/>
          <w:szCs w:val="32"/>
          <w:lang w:val="zh-CN" w:eastAsia="zh-TW" w:bidi="ar-SA"/>
        </w:rPr>
        <w:t>、答辩</w:t>
      </w:r>
      <w:r>
        <w:rPr>
          <w:rFonts w:hint="default" w:ascii="Times New Roman" w:hAnsi="Times New Roman" w:eastAsia="仿宋_GB2312" w:cs="Times New Roman"/>
          <w:kern w:val="2"/>
          <w:sz w:val="32"/>
          <w:szCs w:val="32"/>
          <w:lang w:val="zh-TW" w:eastAsia="zh-TW" w:bidi="ar-SA"/>
        </w:rPr>
        <w:t>等环节。</w:t>
      </w:r>
      <w:r>
        <w:rPr>
          <w:rFonts w:hint="default" w:ascii="Times New Roman" w:hAnsi="Times New Roman" w:eastAsia="仿宋_GB2312" w:cs="Times New Roman"/>
          <w:kern w:val="2"/>
          <w:sz w:val="32"/>
          <w:szCs w:val="32"/>
          <w:lang w:val="zh-CN" w:bidi="ar-SA"/>
        </w:rPr>
        <w:t>校院两级督导团深入研究生教学活动，对课程教学全程进行质量监控。持续优化课程体系，加强教学改革。202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bidi="ar-SA"/>
        </w:rPr>
        <w:t>年承担省级研究生教改项目</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zh-CN" w:bidi="ar-SA"/>
        </w:rPr>
        <w:t>项。</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.7.4</w:t>
      </w:r>
      <w:r>
        <w:rPr>
          <w:rFonts w:hint="default" w:ascii="Times New Roman" w:hAnsi="Times New Roman" w:eastAsia="仿宋_GB2312" w:cs="Times New Roman"/>
          <w:kern w:val="2"/>
          <w:sz w:val="32"/>
          <w:szCs w:val="32"/>
          <w:lang w:val="en-US" w:eastAsia="zh-CN" w:bidi="ar-SA"/>
        </w:rPr>
        <w:t>导师指导</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lang w:val="zh-CN"/>
        </w:rPr>
      </w:pPr>
      <w:r>
        <w:rPr>
          <w:rFonts w:hint="default" w:ascii="Times New Roman" w:hAnsi="Times New Roman" w:eastAsia="仿宋_GB2312" w:cs="Times New Roman"/>
          <w:kern w:val="2"/>
          <w:sz w:val="32"/>
          <w:szCs w:val="32"/>
          <w:lang w:val="zh-CN" w:bidi="ar-SA"/>
        </w:rPr>
        <w:t>学院严格贯彻落实习近平总书记关于教育工作的系列重要讲话精神和教育部《关于建立健全高校师德建设长效机制的意见》，积极开展相关工作，着力构建师德师风建设长效机制。学位点严格导师遴选过程，建立动态考核与淘汰机制，完善研究生与导师互选机制；实行团队化培养，结合学院科学研究方向，组建9个导师团队，共同开设专业方向课程，共同指导、培养学生。</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.7.5</w:t>
      </w:r>
      <w:r>
        <w:rPr>
          <w:rFonts w:hint="default" w:ascii="Times New Roman" w:hAnsi="Times New Roman" w:eastAsia="仿宋_GB2312" w:cs="Times New Roman"/>
          <w:kern w:val="2"/>
          <w:sz w:val="32"/>
          <w:szCs w:val="32"/>
          <w:lang w:val="en-US" w:eastAsia="zh-CN" w:bidi="ar-SA"/>
        </w:rPr>
        <w:t>学术训练</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交流</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TW" w:bidi="ar-SA"/>
        </w:rPr>
      </w:pPr>
      <w:r>
        <w:rPr>
          <w:rFonts w:hint="default" w:ascii="Times New Roman" w:hAnsi="Times New Roman" w:eastAsia="仿宋_GB2312" w:cs="Times New Roman"/>
          <w:kern w:val="2"/>
          <w:sz w:val="32"/>
          <w:szCs w:val="32"/>
          <w:lang w:val="zh-CN" w:eastAsia="zh-TW" w:bidi="ar-SA"/>
        </w:rPr>
        <w:t>学位点在培养研究生科研、创新和实践能力方面制定了一系列切实可行的制度，形成了一套行之有效的方法。研究生主持省级研究生项目</w:t>
      </w:r>
      <w:r>
        <w:rPr>
          <w:rFonts w:hint="eastAsia" w:ascii="Times New Roman" w:hAnsi="Times New Roman" w:eastAsia="仿宋_GB2312" w:cs="Times New Roman"/>
          <w:kern w:val="2"/>
          <w:sz w:val="32"/>
          <w:szCs w:val="32"/>
          <w:lang w:val="en-US" w:eastAsia="zh-CN" w:bidi="ar-SA"/>
        </w:rPr>
        <w:t>26</w:t>
      </w:r>
      <w:r>
        <w:rPr>
          <w:rFonts w:hint="default" w:ascii="Times New Roman" w:hAnsi="Times New Roman" w:eastAsia="仿宋_GB2312" w:cs="Times New Roman"/>
          <w:kern w:val="2"/>
          <w:sz w:val="32"/>
          <w:szCs w:val="32"/>
          <w:lang w:val="zh-CN" w:eastAsia="zh-TW" w:bidi="ar-SA"/>
        </w:rPr>
        <w:t>项，发表</w:t>
      </w:r>
      <w:r>
        <w:rPr>
          <w:rFonts w:hint="eastAsia" w:ascii="Times New Roman" w:hAnsi="Times New Roman" w:eastAsia="仿宋_GB2312" w:cs="Times New Roman"/>
          <w:kern w:val="2"/>
          <w:sz w:val="32"/>
          <w:szCs w:val="32"/>
          <w:lang w:val="en-US" w:eastAsia="zh-CN" w:bidi="ar-SA"/>
        </w:rPr>
        <w:t>20</w:t>
      </w:r>
      <w:r>
        <w:rPr>
          <w:rFonts w:hint="default" w:ascii="Times New Roman" w:hAnsi="Times New Roman" w:eastAsia="仿宋_GB2312" w:cs="Times New Roman"/>
          <w:kern w:val="2"/>
          <w:sz w:val="32"/>
          <w:szCs w:val="32"/>
          <w:lang w:val="zh-CN" w:eastAsia="zh-TW" w:bidi="ar-SA"/>
        </w:rPr>
        <w:t>余篇论文，获得全国研究生数学建模竞赛</w:t>
      </w: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zh-CN" w:eastAsia="zh-TW" w:bidi="ar-SA"/>
        </w:rPr>
        <w:t>等奖</w:t>
      </w:r>
      <w:r>
        <w:rPr>
          <w:rFonts w:hint="eastAsia" w:ascii="Times New Roman" w:hAnsi="Times New Roman" w:eastAsia="仿宋_GB2312" w:cs="Times New Roman"/>
          <w:kern w:val="2"/>
          <w:sz w:val="32"/>
          <w:szCs w:val="32"/>
          <w:lang w:val="zh-CN" w:eastAsia="zh-TW" w:bidi="ar-SA"/>
        </w:rPr>
        <w:t>、</w:t>
      </w:r>
      <w:r>
        <w:rPr>
          <w:rFonts w:hint="eastAsia" w:ascii="Times New Roman" w:hAnsi="Times New Roman" w:eastAsia="仿宋_GB2312" w:cs="Times New Roman"/>
          <w:kern w:val="2"/>
          <w:sz w:val="32"/>
          <w:szCs w:val="32"/>
          <w:lang w:val="en-US" w:eastAsia="zh-CN" w:bidi="ar-SA"/>
        </w:rPr>
        <w:t>二等奖和</w:t>
      </w:r>
      <w:r>
        <w:rPr>
          <w:rFonts w:hint="default" w:ascii="Times New Roman" w:hAnsi="Times New Roman" w:eastAsia="仿宋_GB2312" w:cs="Times New Roman"/>
          <w:kern w:val="2"/>
          <w:sz w:val="32"/>
          <w:szCs w:val="32"/>
          <w:lang w:val="zh-CN" w:eastAsia="zh-TW" w:bidi="ar-SA"/>
        </w:rPr>
        <w:t>三等奖各1项、湖南省数学建模竞赛三等奖3项。学院设有可容纳10人-90人规模的讨论室10间</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en-US" w:eastAsia="zh-TW" w:bidi="ar-SA"/>
        </w:rPr>
        <w:t>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TW" w:eastAsia="zh-TW" w:bidi="ar-SA"/>
        </w:rPr>
        <w:t>年全院共开设讨论班</w:t>
      </w:r>
      <w:r>
        <w:rPr>
          <w:rFonts w:hint="default" w:ascii="Times New Roman" w:hAnsi="Times New Roman" w:eastAsia="仿宋_GB2312" w:cs="Times New Roman"/>
          <w:kern w:val="2"/>
          <w:sz w:val="32"/>
          <w:szCs w:val="32"/>
          <w:lang w:val="zh-CN" w:eastAsia="zh-TW" w:bidi="ar-SA"/>
        </w:rPr>
        <w:t>8</w:t>
      </w:r>
      <w:r>
        <w:rPr>
          <w:rFonts w:hint="default" w:ascii="Times New Roman" w:hAnsi="Times New Roman" w:eastAsia="仿宋_GB2312" w:cs="Times New Roman"/>
          <w:kern w:val="2"/>
          <w:sz w:val="32"/>
          <w:szCs w:val="32"/>
          <w:lang w:val="en-US" w:eastAsia="zh-TW" w:bidi="ar-SA"/>
        </w:rPr>
        <w:t>0</w:t>
      </w:r>
      <w:r>
        <w:rPr>
          <w:rFonts w:hint="default" w:ascii="Times New Roman" w:hAnsi="Times New Roman" w:eastAsia="仿宋_GB2312" w:cs="Times New Roman"/>
          <w:kern w:val="2"/>
          <w:sz w:val="32"/>
          <w:szCs w:val="32"/>
          <w:lang w:val="zh-TW" w:eastAsia="zh-TW" w:bidi="ar-SA"/>
        </w:rPr>
        <w:t>余</w:t>
      </w:r>
      <w:r>
        <w:rPr>
          <w:rFonts w:hint="default" w:ascii="Times New Roman" w:hAnsi="Times New Roman" w:eastAsia="仿宋_GB2312" w:cs="Times New Roman"/>
          <w:kern w:val="2"/>
          <w:sz w:val="32"/>
          <w:szCs w:val="32"/>
          <w:lang w:val="zh-CN" w:eastAsia="zh-TW" w:bidi="ar-SA"/>
        </w:rPr>
        <w:t>个</w:t>
      </w:r>
      <w:r>
        <w:rPr>
          <w:rFonts w:hint="default" w:ascii="Times New Roman" w:hAnsi="Times New Roman" w:eastAsia="仿宋_GB2312" w:cs="Times New Roman"/>
          <w:kern w:val="2"/>
          <w:sz w:val="32"/>
          <w:szCs w:val="32"/>
          <w:lang w:val="zh-TW" w:eastAsia="zh-TW" w:bidi="ar-SA"/>
        </w:rPr>
        <w:t>。</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highlight w:val="yellow"/>
          <w:lang w:val="zh-CN" w:bidi="ar-SA"/>
        </w:rPr>
      </w:pPr>
      <w:r>
        <w:rPr>
          <w:rFonts w:hint="default" w:ascii="Times New Roman" w:hAnsi="Times New Roman" w:eastAsia="仿宋_GB2312" w:cs="Times New Roman"/>
          <w:kern w:val="2"/>
          <w:sz w:val="32"/>
          <w:szCs w:val="32"/>
          <w:lang w:val="zh-CN" w:eastAsia="zh-TW" w:bidi="ar-SA"/>
        </w:rPr>
        <w:t>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TW" w:bidi="ar-SA"/>
        </w:rPr>
        <w:t>年，举办高水平国内会议10次，资助研究生参加各类国际国内学术交流达</w:t>
      </w:r>
      <w:r>
        <w:rPr>
          <w:rFonts w:hint="eastAsia" w:ascii="Times New Roman" w:hAnsi="Times New Roman" w:eastAsia="仿宋_GB2312" w:cs="Times New Roman"/>
          <w:kern w:val="2"/>
          <w:sz w:val="32"/>
          <w:szCs w:val="32"/>
          <w:lang w:val="en-US" w:eastAsia="zh-CN" w:bidi="ar-SA"/>
        </w:rPr>
        <w:t>70</w:t>
      </w:r>
      <w:r>
        <w:rPr>
          <w:rFonts w:hint="default" w:ascii="Times New Roman" w:hAnsi="Times New Roman" w:eastAsia="仿宋_GB2312" w:cs="Times New Roman"/>
          <w:kern w:val="2"/>
          <w:sz w:val="32"/>
          <w:szCs w:val="32"/>
          <w:lang w:val="zh-CN" w:eastAsia="zh-TW" w:bidi="ar-SA"/>
        </w:rPr>
        <w:t>余人次；</w:t>
      </w:r>
      <w:r>
        <w:rPr>
          <w:rFonts w:hint="default" w:ascii="Times New Roman" w:hAnsi="Times New Roman" w:eastAsia="仿宋_GB2312" w:cs="Times New Roman"/>
          <w:kern w:val="2"/>
          <w:sz w:val="32"/>
          <w:szCs w:val="32"/>
          <w:lang w:val="zh-TW" w:eastAsia="zh-TW" w:bidi="ar-SA"/>
        </w:rPr>
        <w:t>邀请专家</w:t>
      </w:r>
      <w:r>
        <w:rPr>
          <w:rFonts w:hint="default" w:ascii="Times New Roman" w:hAnsi="Times New Roman" w:eastAsia="仿宋_GB2312" w:cs="Times New Roman"/>
          <w:kern w:val="2"/>
          <w:sz w:val="32"/>
          <w:szCs w:val="32"/>
          <w:lang w:val="zh-CN" w:eastAsia="zh-TW" w:bidi="ar-SA"/>
        </w:rPr>
        <w:t>作报告</w:t>
      </w:r>
      <w:r>
        <w:rPr>
          <w:rFonts w:hint="eastAsia" w:ascii="Times New Roman" w:hAnsi="Times New Roman" w:eastAsia="仿宋_GB2312" w:cs="Times New Roman"/>
          <w:kern w:val="2"/>
          <w:sz w:val="32"/>
          <w:szCs w:val="32"/>
          <w:lang w:val="en-US" w:eastAsia="zh-CN" w:bidi="ar-SA"/>
        </w:rPr>
        <w:t>40</w:t>
      </w:r>
      <w:r>
        <w:rPr>
          <w:rFonts w:hint="default" w:ascii="Times New Roman" w:hAnsi="Times New Roman" w:eastAsia="仿宋_GB2312" w:cs="Times New Roman"/>
          <w:kern w:val="2"/>
          <w:sz w:val="32"/>
          <w:szCs w:val="32"/>
          <w:lang w:val="zh-CN" w:eastAsia="zh-TW" w:bidi="ar-SA"/>
        </w:rPr>
        <w:t>余场</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val="zh-CN" w:eastAsia="zh-TW" w:bidi="ar-SA"/>
        </w:rPr>
        <w:t>学院历来重视研究生的对外学术交流，目前主要以导师组织派出的形势展开，主要以参加学术会议和短期交流为主。从学位点建设的长远来看，开阔学生的国际视野，具有重要意义。在读博士生和硕士对外学术交流规模需要进一步加大，特别是国际合作交流方面。</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.7.6</w:t>
      </w:r>
      <w:r>
        <w:rPr>
          <w:rFonts w:hint="default" w:ascii="Times New Roman" w:hAnsi="Times New Roman" w:eastAsia="仿宋_GB2312" w:cs="Times New Roman"/>
          <w:kern w:val="2"/>
          <w:sz w:val="32"/>
          <w:szCs w:val="32"/>
          <w:lang w:val="en-US" w:eastAsia="zh-CN" w:bidi="ar-SA"/>
        </w:rPr>
        <w:t>质量保证</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学位点严格按照学校有关规定对研究生进行综合评价。博士生中期考核通过者，可进入博士学位论文工作阶段；不合格者，实施分流淘汰制度，</w:t>
      </w:r>
      <w:r>
        <w:rPr>
          <w:rFonts w:hint="eastAsia" w:ascii="Times New Roman" w:hAnsi="Times New Roman" w:eastAsia="仿宋_GB2312" w:cs="Times New Roman"/>
          <w:kern w:val="2"/>
          <w:sz w:val="32"/>
          <w:szCs w:val="32"/>
          <w:lang w:val="en-US" w:eastAsia="zh-CN" w:bidi="ar-SA"/>
        </w:rPr>
        <w:t>2022年1名博士</w:t>
      </w:r>
      <w:r>
        <w:rPr>
          <w:rFonts w:hint="default" w:ascii="Times New Roman" w:hAnsi="Times New Roman" w:eastAsia="仿宋_GB2312" w:cs="Times New Roman"/>
          <w:kern w:val="2"/>
          <w:sz w:val="32"/>
          <w:szCs w:val="32"/>
          <w:lang w:val="zh-CN" w:bidi="ar-SA"/>
        </w:rPr>
        <w:t>研究生被分流。</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eastAsia" w:ascii="Times New Roman" w:hAnsi="Times New Roman" w:eastAsia="仿宋_GB2312" w:cs="Times New Roman"/>
          <w:kern w:val="2"/>
          <w:sz w:val="32"/>
          <w:szCs w:val="32"/>
          <w:lang w:val="en-US" w:eastAsia="zh-CN" w:bidi="ar-SA"/>
        </w:rPr>
        <w:t>在学位论文质量方面，</w:t>
      </w:r>
      <w:r>
        <w:rPr>
          <w:rFonts w:hint="default" w:ascii="Times New Roman" w:hAnsi="Times New Roman" w:eastAsia="仿宋_GB2312" w:cs="Times New Roman"/>
          <w:kern w:val="2"/>
          <w:sz w:val="32"/>
          <w:szCs w:val="32"/>
          <w:lang w:val="zh-CN" w:bidi="ar-SA"/>
        </w:rPr>
        <w:t>严格执行学位论文中期检查制度，及时发现存在的问题，提高质量；论文送审前进行预答辩，确保质量。202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bidi="ar-SA"/>
        </w:rPr>
        <w:t>年获</w:t>
      </w:r>
      <w:r>
        <w:rPr>
          <w:rFonts w:hint="default" w:ascii="Times New Roman" w:hAnsi="Times New Roman" w:eastAsia="仿宋_GB2312" w:cs="Times New Roman"/>
          <w:kern w:val="2"/>
          <w:sz w:val="32"/>
          <w:szCs w:val="32"/>
          <w:lang w:bidi="ar-SA"/>
        </w:rPr>
        <w:t>湖南省优秀硕士硕士学位论文</w:t>
      </w: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eastAsia="zh-CN" w:bidi="ar-SA"/>
        </w:rPr>
        <w:t>篇</w:t>
      </w:r>
      <w:r>
        <w:rPr>
          <w:rFonts w:hint="default" w:ascii="Times New Roman" w:hAnsi="Times New Roman" w:eastAsia="仿宋_GB2312" w:cs="Times New Roman"/>
          <w:kern w:val="2"/>
          <w:sz w:val="32"/>
          <w:szCs w:val="32"/>
          <w:lang w:val="zh-CN" w:bidi="ar-SA"/>
        </w:rPr>
        <w:t>，</w:t>
      </w:r>
      <w:r>
        <w:rPr>
          <w:rFonts w:hint="default" w:ascii="Times New Roman" w:hAnsi="Times New Roman" w:eastAsia="仿宋_GB2312" w:cs="Times New Roman"/>
          <w:kern w:val="2"/>
          <w:sz w:val="32"/>
          <w:szCs w:val="32"/>
          <w:lang w:bidi="ar-SA"/>
        </w:rPr>
        <w:t>湘潭大学优秀博士学位论文</w:t>
      </w:r>
      <w:r>
        <w:rPr>
          <w:rFonts w:hint="default" w:ascii="Times New Roman" w:hAnsi="Times New Roman" w:eastAsia="仿宋_GB2312" w:cs="Times New Roman"/>
          <w:kern w:val="2"/>
          <w:sz w:val="32"/>
          <w:szCs w:val="32"/>
          <w:lang w:val="zh-CN" w:bidi="ar-SA"/>
        </w:rPr>
        <w:t>1</w:t>
      </w:r>
      <w:r>
        <w:rPr>
          <w:rFonts w:hint="default" w:ascii="Times New Roman" w:hAnsi="Times New Roman" w:eastAsia="仿宋_GB2312" w:cs="Times New Roman"/>
          <w:kern w:val="2"/>
          <w:sz w:val="32"/>
          <w:szCs w:val="32"/>
          <w:lang w:bidi="ar-SA"/>
        </w:rPr>
        <w:t>篇</w:t>
      </w:r>
      <w:r>
        <w:rPr>
          <w:rFonts w:hint="default" w:ascii="Times New Roman" w:hAnsi="Times New Roman" w:eastAsia="仿宋_GB2312" w:cs="Times New Roman"/>
          <w:kern w:val="2"/>
          <w:sz w:val="32"/>
          <w:szCs w:val="32"/>
          <w:lang w:val="zh-CN" w:bidi="ar-SA"/>
        </w:rPr>
        <w:t>、</w:t>
      </w:r>
      <w:r>
        <w:rPr>
          <w:rFonts w:hint="default" w:ascii="Times New Roman" w:hAnsi="Times New Roman" w:eastAsia="仿宋_GB2312" w:cs="Times New Roman"/>
          <w:kern w:val="2"/>
          <w:sz w:val="32"/>
          <w:szCs w:val="32"/>
          <w:lang w:bidi="ar-SA"/>
        </w:rPr>
        <w:t>优秀硕士硕士学位论文</w:t>
      </w:r>
      <w:r>
        <w:rPr>
          <w:rFonts w:hint="default" w:ascii="Times New Roman" w:hAnsi="Times New Roman" w:eastAsia="仿宋_GB2312" w:cs="Times New Roman"/>
          <w:kern w:val="2"/>
          <w:sz w:val="32"/>
          <w:szCs w:val="32"/>
          <w:lang w:eastAsia="zh-CN" w:bidi="ar-SA"/>
        </w:rPr>
        <w:t>7篇</w:t>
      </w:r>
      <w:r>
        <w:rPr>
          <w:rFonts w:hint="default" w:ascii="Times New Roman" w:hAnsi="Times New Roman" w:eastAsia="仿宋_GB2312" w:cs="Times New Roman"/>
          <w:kern w:val="2"/>
          <w:sz w:val="32"/>
          <w:szCs w:val="32"/>
          <w:lang w:val="zh-CN" w:bidi="ar-SA"/>
        </w:rPr>
        <w:t>。</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.7.7</w:t>
      </w:r>
      <w:r>
        <w:rPr>
          <w:rFonts w:hint="default" w:ascii="Times New Roman" w:hAnsi="Times New Roman" w:eastAsia="仿宋_GB2312" w:cs="Times New Roman"/>
          <w:kern w:val="2"/>
          <w:sz w:val="32"/>
          <w:szCs w:val="32"/>
          <w:lang w:val="en-US" w:eastAsia="zh-CN" w:bidi="ar-SA"/>
        </w:rPr>
        <w:t>学风建设</w:t>
      </w:r>
      <w:r>
        <w:rPr>
          <w:rFonts w:hint="eastAsia" w:ascii="Times New Roman" w:hAnsi="Times New Roman" w:eastAsia="仿宋_GB2312" w:cs="Times New Roman"/>
          <w:kern w:val="2"/>
          <w:sz w:val="32"/>
          <w:szCs w:val="32"/>
          <w:lang w:val="en-US" w:eastAsia="zh-CN" w:bidi="ar-SA"/>
        </w:rPr>
        <w:t>及</w:t>
      </w:r>
      <w:r>
        <w:rPr>
          <w:rFonts w:hint="default" w:ascii="Times New Roman" w:hAnsi="Times New Roman" w:eastAsia="仿宋_GB2312" w:cs="Times New Roman"/>
          <w:kern w:val="2"/>
          <w:sz w:val="32"/>
          <w:szCs w:val="32"/>
          <w:lang w:val="en-US" w:eastAsia="zh-CN" w:bidi="ar-SA"/>
        </w:rPr>
        <w:t>管理服务</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bidi="ar-SA"/>
        </w:rPr>
        <w:t>制作了学院《研究生手册》，</w:t>
      </w:r>
      <w:r>
        <w:rPr>
          <w:rFonts w:hint="default" w:ascii="Times New Roman" w:hAnsi="Times New Roman" w:eastAsia="仿宋_GB2312" w:cs="Times New Roman"/>
          <w:kern w:val="2"/>
          <w:sz w:val="32"/>
          <w:szCs w:val="32"/>
          <w:lang w:val="zh-CN" w:bidi="ar-SA"/>
        </w:rPr>
        <w:t>利用新生入学教育对研究生开展学术道德与学术规范宣讲，不定期开展学风教育讲座，通过院研究生分会开展学术道德自律活动和学习校院两级相关的规章制度。</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CN" w:bidi="ar-SA"/>
        </w:rPr>
        <w:t>配齐思政辅导员和研究生管理服务队伍</w:t>
      </w:r>
      <w:r>
        <w:rPr>
          <w:rFonts w:hint="default"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bidi="ar-SA"/>
        </w:rPr>
        <w:t>配合研究生导师对研究生进行思政教育。及时发现特殊情况研究生并给予重点关注，对特殊情况研究生做到了“一人一档”。</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1.8 </w:t>
      </w:r>
      <w:r>
        <w:rPr>
          <w:rFonts w:hint="default" w:ascii="仿宋_GB2312" w:hAnsi="仿宋_GB2312" w:eastAsia="仿宋_GB2312" w:cs="仿宋_GB2312"/>
          <w:b/>
          <w:bCs/>
          <w:sz w:val="32"/>
          <w:szCs w:val="32"/>
          <w:lang w:val="en-US" w:eastAsia="zh-CN"/>
        </w:rPr>
        <w:t>服务贡献</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eastAsia" w:ascii="Times New Roman" w:hAnsi="Times New Roman" w:eastAsia="仿宋_GB2312" w:cs="Times New Roman"/>
          <w:kern w:val="2"/>
          <w:sz w:val="32"/>
          <w:szCs w:val="32"/>
          <w:lang w:val="zh-CN" w:bidi="ar-SA"/>
        </w:rPr>
        <w:t>依托湖南国家应用数学中心，承担了 “智能导航及遥感数据高精度融合的数学方法”、“智慧司法科学理论与司法改革科技支撑技术研究” 等2个国家重点研发计划重点专项，联合企业共建了空间智能计算与数据处理研究中心、智能城市与大数据研究院等产学研合作平台，在勘探产业、医疗卫生、气候预测、人工智能等领域联合企业开展了一系列数学应用技术联合攻关，解决了行业企业发展中的多项关键技术瓶颈问题，与北京九所共同研制的并行代数多层网格解法器（JXPAMG）成为该所自主研发的高性能并行计算软件平台JASMIN的默认线性方程组的解法器。</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积极服务学术组织，扩大学科影响。创办</w:t>
      </w:r>
      <w:r>
        <w:rPr>
          <w:rFonts w:hint="default" w:ascii="Times New Roman" w:hAnsi="Times New Roman" w:eastAsia="仿宋_GB2312" w:cs="Times New Roman"/>
          <w:kern w:val="2"/>
          <w:sz w:val="32"/>
          <w:szCs w:val="32"/>
          <w:lang w:eastAsia="zh-CN" w:bidi="ar-SA"/>
        </w:rPr>
        <w:t>的</w:t>
      </w:r>
      <w:r>
        <w:rPr>
          <w:rFonts w:hint="default" w:ascii="Times New Roman" w:hAnsi="Times New Roman" w:eastAsia="仿宋_GB2312" w:cs="Times New Roman"/>
          <w:kern w:val="2"/>
          <w:sz w:val="32"/>
          <w:szCs w:val="32"/>
          <w:lang w:val="zh-CN" w:eastAsia="zh-CN" w:bidi="ar-SA"/>
        </w:rPr>
        <w:t xml:space="preserve"> SCI 期刊</w:t>
      </w:r>
      <w:r>
        <w:rPr>
          <w:rFonts w:hint="eastAsia" w:ascii="Times New Roman" w:hAnsi="Times New Roman" w:eastAsia="仿宋_GB2312" w:cs="Times New Roman"/>
          <w:kern w:val="2"/>
          <w:sz w:val="32"/>
          <w:szCs w:val="32"/>
          <w:lang w:val="en-US" w:eastAsia="zh-CN" w:bidi="ar-SA"/>
        </w:rPr>
        <w:t>《应用数学与力学进展》（Advances in Applied Mathematics and Mechanics）入选2022年度中国科技期刊卓越行动计划“高起点新刊”</w:t>
      </w:r>
      <w:r>
        <w:rPr>
          <w:rFonts w:hint="default" w:ascii="Times New Roman" w:hAnsi="Times New Roman" w:eastAsia="仿宋_GB2312" w:cs="Times New Roman"/>
          <w:kern w:val="2"/>
          <w:sz w:val="32"/>
          <w:szCs w:val="32"/>
          <w:lang w:val="zh-CN" w:eastAsia="zh-CN" w:bidi="ar-SA"/>
        </w:rPr>
        <w:t>，多人担任国内学术期刊主编、编委等。</w:t>
      </w:r>
    </w:p>
    <w:p>
      <w:pPr>
        <w:pStyle w:val="9"/>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4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制度建设完善和执行情况</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2.1参与与执行学校制度情况</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kern w:val="2"/>
          <w:sz w:val="32"/>
          <w:szCs w:val="32"/>
          <w:lang w:val="zh-TW" w:eastAsia="zh-CN" w:bidi="ar-SA"/>
        </w:rPr>
      </w:pPr>
      <w:r>
        <w:rPr>
          <w:rFonts w:hint="eastAsia" w:ascii="Times New Roman" w:hAnsi="Times New Roman" w:eastAsia="仿宋_GB2312" w:cs="Times New Roman"/>
          <w:kern w:val="2"/>
          <w:sz w:val="32"/>
          <w:szCs w:val="32"/>
          <w:lang w:val="en-US" w:eastAsia="zh-CN" w:bidi="ar-SA"/>
        </w:rPr>
        <w:t>根据学校的要求，学院制定“</w:t>
      </w:r>
      <w:r>
        <w:rPr>
          <w:rFonts w:hint="default" w:ascii="Times New Roman" w:hAnsi="Times New Roman" w:eastAsia="仿宋_GB2312" w:cs="Times New Roman"/>
          <w:kern w:val="2"/>
          <w:sz w:val="32"/>
          <w:szCs w:val="32"/>
          <w:lang w:val="zh-TW" w:eastAsia="zh-TW" w:bidi="ar-SA"/>
        </w:rPr>
        <w:t>湘潭大学数学学科</w:t>
      </w:r>
      <w:r>
        <w:rPr>
          <w:rFonts w:hint="eastAsia" w:ascii="Times New Roman" w:hAnsi="Times New Roman" w:eastAsia="仿宋_GB2312" w:cs="Times New Roman"/>
          <w:kern w:val="2"/>
          <w:sz w:val="32"/>
          <w:szCs w:val="32"/>
          <w:lang w:val="en-US" w:eastAsia="zh-CN" w:bidi="ar-SA"/>
        </w:rPr>
        <w:t>直接攻读博士学位研究生培养方案</w:t>
      </w:r>
      <w:r>
        <w:rPr>
          <w:rFonts w:hint="default" w:ascii="Times New Roman" w:hAnsi="Times New Roman" w:eastAsia="仿宋_GB2312" w:cs="Times New Roman"/>
          <w:kern w:val="2"/>
          <w:sz w:val="32"/>
          <w:szCs w:val="32"/>
          <w:lang w:val="zh-TW" w:eastAsia="zh-TW" w:bidi="ar-SA"/>
        </w:rPr>
        <w:t> </w:t>
      </w:r>
      <w:r>
        <w:rPr>
          <w:rFonts w:hint="eastAsia" w:ascii="Times New Roman" w:hAnsi="Times New Roman" w:eastAsia="仿宋_GB2312" w:cs="Times New Roman"/>
          <w:kern w:val="2"/>
          <w:sz w:val="32"/>
          <w:szCs w:val="32"/>
          <w:lang w:val="en-US" w:eastAsia="zh-CN" w:bidi="ar-SA"/>
        </w:rPr>
        <w:t>”以及</w:t>
      </w:r>
      <w:r>
        <w:rPr>
          <w:rFonts w:hint="eastAsia" w:ascii="Times New Roman" w:hAnsi="Times New Roman" w:eastAsia="仿宋_GB2312" w:cs="Times New Roman"/>
          <w:kern w:val="2"/>
          <w:sz w:val="32"/>
          <w:szCs w:val="32"/>
          <w:lang w:val="zh-TW" w:eastAsia="zh-TW" w:bidi="ar-SA"/>
        </w:rPr>
        <w:t>博士</w:t>
      </w:r>
      <w:r>
        <w:rPr>
          <w:rFonts w:hint="eastAsia" w:ascii="Times New Roman" w:hAnsi="Times New Roman" w:eastAsia="仿宋_GB2312" w:cs="Times New Roman"/>
          <w:kern w:val="2"/>
          <w:sz w:val="32"/>
          <w:szCs w:val="32"/>
          <w:lang w:val="zh-TW" w:eastAsia="zh-CN" w:bidi="ar-SA"/>
        </w:rPr>
        <w:t>、</w:t>
      </w:r>
      <w:r>
        <w:rPr>
          <w:rFonts w:hint="eastAsia" w:ascii="Times New Roman" w:hAnsi="Times New Roman" w:eastAsia="仿宋_GB2312" w:cs="Times New Roman"/>
          <w:kern w:val="2"/>
          <w:sz w:val="32"/>
          <w:szCs w:val="32"/>
          <w:lang w:val="en-US" w:eastAsia="zh-CN" w:bidi="ar-SA"/>
        </w:rPr>
        <w:t>硕士</w:t>
      </w:r>
      <w:r>
        <w:rPr>
          <w:rFonts w:hint="eastAsia" w:ascii="Times New Roman" w:hAnsi="Times New Roman" w:eastAsia="仿宋_GB2312" w:cs="Times New Roman"/>
          <w:kern w:val="2"/>
          <w:sz w:val="32"/>
          <w:szCs w:val="32"/>
          <w:lang w:val="zh-TW" w:eastAsia="zh-TW" w:bidi="ar-SA"/>
        </w:rPr>
        <w:t>研究生公开成果创新要求</w:t>
      </w:r>
      <w:r>
        <w:rPr>
          <w:rFonts w:hint="eastAsia"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val="zh-TW" w:eastAsia="zh-CN" w:bidi="ar-SA"/>
        </w:rPr>
        <w:t>参与了“</w:t>
      </w:r>
      <w:r>
        <w:rPr>
          <w:rFonts w:hint="eastAsia" w:ascii="Times New Roman" w:hAnsi="Times New Roman" w:eastAsia="仿宋_GB2312" w:cs="Times New Roman"/>
          <w:kern w:val="2"/>
          <w:sz w:val="32"/>
          <w:szCs w:val="32"/>
          <w:lang w:val="en-US" w:eastAsia="zh-CN" w:bidi="ar-SA"/>
        </w:rPr>
        <w:t>湘潭大学</w:t>
      </w:r>
      <w:r>
        <w:rPr>
          <w:rFonts w:hint="default" w:ascii="Times New Roman" w:hAnsi="Times New Roman" w:eastAsia="仿宋_GB2312" w:cs="Times New Roman"/>
          <w:kern w:val="2"/>
          <w:sz w:val="32"/>
          <w:szCs w:val="32"/>
          <w:lang w:val="en-US" w:eastAsia="zh-CN" w:bidi="ar-SA"/>
        </w:rPr>
        <w:t>研究生毕业与学位授予分离实施办法</w:t>
      </w:r>
      <w:r>
        <w:rPr>
          <w:rFonts w:hint="default" w:ascii="Times New Roman" w:hAnsi="Times New Roman" w:eastAsia="仿宋_GB2312" w:cs="Times New Roman"/>
          <w:kern w:val="2"/>
          <w:sz w:val="32"/>
          <w:szCs w:val="32"/>
          <w:lang w:val="zh-TW" w:eastAsia="zh-CN" w:bidi="ar-SA"/>
        </w:rPr>
        <w:t>（试行）”</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zh-TW" w:eastAsia="zh-CN" w:bidi="ar-SA"/>
        </w:rPr>
        <w:t>“</w:t>
      </w:r>
      <w:r>
        <w:rPr>
          <w:rFonts w:hint="eastAsia" w:ascii="Times New Roman" w:hAnsi="Times New Roman" w:eastAsia="仿宋_GB2312" w:cs="Times New Roman"/>
          <w:kern w:val="2"/>
          <w:sz w:val="32"/>
          <w:szCs w:val="32"/>
          <w:lang w:val="en-US" w:eastAsia="zh-CN" w:bidi="ar-SA"/>
        </w:rPr>
        <w:t>湘潭大学</w:t>
      </w:r>
      <w:r>
        <w:rPr>
          <w:rFonts w:hint="default" w:ascii="Times New Roman" w:hAnsi="Times New Roman" w:eastAsia="仿宋_GB2312" w:cs="Times New Roman"/>
          <w:kern w:val="2"/>
          <w:sz w:val="32"/>
          <w:szCs w:val="32"/>
          <w:lang w:val="en-US" w:eastAsia="zh-CN" w:bidi="ar-SA"/>
        </w:rPr>
        <w:t>硕士、博士学位授予工作实施细则</w:t>
      </w:r>
      <w:r>
        <w:rPr>
          <w:rFonts w:hint="default" w:ascii="Times New Roman" w:hAnsi="Times New Roman" w:eastAsia="仿宋_GB2312" w:cs="Times New Roman"/>
          <w:kern w:val="2"/>
          <w:sz w:val="32"/>
          <w:szCs w:val="32"/>
          <w:lang w:val="zh-TW" w:eastAsia="zh-CN" w:bidi="ar-SA"/>
        </w:rPr>
        <w:t>”</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zh-TW" w:eastAsia="zh-CN" w:bidi="ar-SA"/>
        </w:rPr>
        <w:t>“湘潭大学研究生指导教师遴选工作实施细则”等文件的讨论和调研。</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2.2本学位授权点制度建设与执行情况</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eastAsia="zh-TW" w:bidi="ar-SA"/>
        </w:rPr>
      </w:pPr>
      <w:r>
        <w:rPr>
          <w:rFonts w:hint="default" w:ascii="Times New Roman" w:hAnsi="Times New Roman" w:eastAsia="仿宋_GB2312" w:cs="Times New Roman"/>
          <w:kern w:val="2"/>
          <w:sz w:val="32"/>
          <w:szCs w:val="32"/>
          <w:lang w:val="zh-CN" w:eastAsia="zh-CN" w:bidi="ar-SA"/>
        </w:rPr>
        <w:t>严格执行学校的研究生培养和学位点建设的相关制度，相关文档保存完好。</w:t>
      </w:r>
    </w:p>
    <w:p>
      <w:pPr>
        <w:pStyle w:val="9"/>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640"/>
        <w:textAlignment w:val="auto"/>
        <w:outlineLvl w:val="0"/>
        <w:rPr>
          <w:rFonts w:hint="default" w:ascii="黑体" w:hAnsi="黑体" w:eastAsia="黑体" w:cs="黑体"/>
          <w:sz w:val="32"/>
          <w:szCs w:val="32"/>
        </w:rPr>
      </w:pPr>
      <w:r>
        <w:rPr>
          <w:rFonts w:hint="eastAsia" w:ascii="黑体" w:hAnsi="黑体" w:eastAsia="黑体" w:cs="黑体"/>
          <w:sz w:val="32"/>
          <w:szCs w:val="32"/>
        </w:rPr>
        <w:t>三、针对留存问题整改情况和下一年度建设计划</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3.1整改情况</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eastAsia"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针对非学位课程，参照学位课程进行管理，开设了</w:t>
      </w:r>
      <w:r>
        <w:rPr>
          <w:rFonts w:hint="eastAsia"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color w:val="auto"/>
          <w:kern w:val="2"/>
          <w:sz w:val="32"/>
          <w:szCs w:val="32"/>
          <w:lang w:val="zh-CN" w:eastAsia="zh-CN" w:bidi="ar-SA"/>
        </w:rPr>
        <w:t>门专业方向课。</w:t>
      </w:r>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ind w:firstLine="643" w:firstLineChars="200"/>
        <w:textAlignment w:val="auto"/>
        <w:outlineLvl w:val="1"/>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3.2下一年度工作计划</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TW" w:eastAsia="zh-TW" w:bidi="ar-SA"/>
        </w:rPr>
        <w:t>本学位授权点将进一步改革完善培养模式和管理体系，推进研究生培养水平和质量的进一步提高。</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val="zh-TW" w:eastAsia="zh-TW" w:bidi="ar-SA"/>
        </w:rPr>
        <w:t>在师资队伍建设方面，</w:t>
      </w:r>
      <w:r>
        <w:rPr>
          <w:rFonts w:hint="default" w:ascii="Times New Roman" w:hAnsi="Times New Roman" w:eastAsia="仿宋_GB2312" w:cs="Times New Roman"/>
          <w:kern w:val="2"/>
          <w:sz w:val="32"/>
          <w:szCs w:val="32"/>
          <w:lang w:val="zh-CN" w:eastAsia="zh-TW" w:bidi="ar-SA"/>
        </w:rPr>
        <w:t>采用引育结合的方式，</w:t>
      </w:r>
      <w:r>
        <w:rPr>
          <w:rFonts w:hint="default" w:ascii="Times New Roman" w:hAnsi="Times New Roman" w:eastAsia="仿宋_GB2312" w:cs="Times New Roman"/>
          <w:kern w:val="2"/>
          <w:sz w:val="32"/>
          <w:szCs w:val="32"/>
          <w:lang w:eastAsia="zh-TW" w:bidi="ar-SA"/>
        </w:rPr>
        <w:t>持续</w:t>
      </w:r>
      <w:r>
        <w:rPr>
          <w:rFonts w:hint="default" w:ascii="Times New Roman" w:hAnsi="Times New Roman" w:eastAsia="仿宋_GB2312" w:cs="Times New Roman"/>
          <w:kern w:val="2"/>
          <w:sz w:val="32"/>
          <w:szCs w:val="32"/>
          <w:lang w:val="zh-CN" w:eastAsia="zh-TW" w:bidi="ar-SA"/>
        </w:rPr>
        <w:t>加大基础数学方向的师资引进</w:t>
      </w:r>
      <w:r>
        <w:rPr>
          <w:rFonts w:hint="default" w:ascii="Times New Roman" w:hAnsi="Times New Roman" w:eastAsia="仿宋_GB2312" w:cs="Times New Roman"/>
          <w:kern w:val="2"/>
          <w:sz w:val="32"/>
          <w:szCs w:val="32"/>
          <w:lang w:val="zh-TW" w:eastAsia="zh-TW" w:bidi="ar-SA"/>
        </w:rPr>
        <w:t>，加强青年教师培养。选</w:t>
      </w:r>
      <w:r>
        <w:rPr>
          <w:rFonts w:hint="default" w:ascii="Times New Roman" w:hAnsi="Times New Roman" w:eastAsia="仿宋_GB2312" w:cs="Times New Roman"/>
          <w:kern w:val="2"/>
          <w:sz w:val="32"/>
          <w:szCs w:val="32"/>
          <w:lang w:eastAsia="zh-TW" w:bidi="ar-SA"/>
        </w:rPr>
        <w:t>派</w:t>
      </w:r>
      <w:r>
        <w:rPr>
          <w:rFonts w:hint="default" w:ascii="Times New Roman" w:hAnsi="Times New Roman" w:eastAsia="仿宋_GB2312" w:cs="Times New Roman"/>
          <w:kern w:val="2"/>
          <w:sz w:val="32"/>
          <w:szCs w:val="32"/>
          <w:lang w:val="zh-TW" w:eastAsia="zh-TW" w:bidi="ar-SA"/>
        </w:rPr>
        <w:t>青年教师到</w:t>
      </w:r>
      <w:r>
        <w:rPr>
          <w:rFonts w:hint="default" w:ascii="Times New Roman" w:hAnsi="Times New Roman" w:eastAsia="仿宋_GB2312" w:cs="Times New Roman"/>
          <w:kern w:val="2"/>
          <w:sz w:val="32"/>
          <w:szCs w:val="32"/>
          <w:lang w:val="zh-CN" w:eastAsia="zh-TW" w:bidi="ar-SA"/>
        </w:rPr>
        <w:t>国内外一流大学访问</w:t>
      </w:r>
      <w:r>
        <w:rPr>
          <w:rFonts w:hint="default" w:ascii="Times New Roman" w:hAnsi="Times New Roman" w:eastAsia="仿宋_GB2312" w:cs="Times New Roman"/>
          <w:kern w:val="2"/>
          <w:sz w:val="32"/>
          <w:szCs w:val="32"/>
          <w:lang w:val="zh-TW" w:eastAsia="zh-TW" w:bidi="ar-SA"/>
        </w:rPr>
        <w:t>。</w:t>
      </w:r>
      <w:r>
        <w:rPr>
          <w:rFonts w:hint="default" w:ascii="Times New Roman" w:hAnsi="Times New Roman" w:eastAsia="仿宋_GB2312" w:cs="Times New Roman"/>
          <w:kern w:val="2"/>
          <w:sz w:val="32"/>
          <w:szCs w:val="32"/>
          <w:lang w:eastAsia="zh-TW" w:bidi="ar-SA"/>
        </w:rPr>
        <w:t>积极邀请</w:t>
      </w:r>
      <w:r>
        <w:rPr>
          <w:rFonts w:hint="default" w:ascii="Times New Roman" w:hAnsi="Times New Roman" w:eastAsia="仿宋_GB2312" w:cs="Times New Roman"/>
          <w:kern w:val="2"/>
          <w:sz w:val="32"/>
          <w:szCs w:val="32"/>
          <w:lang w:val="zh-TW" w:eastAsia="zh-TW" w:bidi="ar-SA"/>
        </w:rPr>
        <w:t>国内外</w:t>
      </w:r>
      <w:r>
        <w:rPr>
          <w:rFonts w:hint="default" w:ascii="Times New Roman" w:hAnsi="Times New Roman" w:eastAsia="仿宋_GB2312" w:cs="Times New Roman"/>
          <w:kern w:val="2"/>
          <w:sz w:val="32"/>
          <w:szCs w:val="32"/>
          <w:lang w:val="zh-CN" w:eastAsia="zh-TW" w:bidi="ar-SA"/>
        </w:rPr>
        <w:t>知名学者积极申报国家和湖南省人才计划</w:t>
      </w:r>
      <w:r>
        <w:rPr>
          <w:rFonts w:hint="default" w:ascii="Times New Roman" w:hAnsi="Times New Roman" w:eastAsia="仿宋_GB2312" w:cs="Times New Roman"/>
          <w:kern w:val="2"/>
          <w:sz w:val="32"/>
          <w:szCs w:val="32"/>
          <w:lang w:val="zh-TW" w:eastAsia="zh-TW" w:bidi="ar-SA"/>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TW" w:eastAsia="zh-TW" w:bidi="ar-SA"/>
        </w:rPr>
      </w:pPr>
      <w:r>
        <w:rPr>
          <w:rFonts w:hint="default" w:ascii="Times New Roman" w:hAnsi="Times New Roman" w:eastAsia="仿宋_GB2312" w:cs="Times New Roman"/>
          <w:kern w:val="2"/>
          <w:sz w:val="32"/>
          <w:szCs w:val="32"/>
          <w:lang w:eastAsia="zh-TW" w:bidi="ar-SA"/>
        </w:rPr>
        <w:t>改善研究生培养软硬件条件，尽量保障每一个研究生有一个卡座，增设研究生讨论室</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eastAsia="仿宋_GB2312" w:cs="Times New Roman"/>
          <w:kern w:val="2"/>
          <w:sz w:val="32"/>
          <w:szCs w:val="32"/>
          <w:lang w:val="zh-CN" w:bidi="ar-SA"/>
        </w:rPr>
      </w:pPr>
      <w:r>
        <w:rPr>
          <w:rFonts w:hint="default" w:ascii="Times New Roman" w:hAnsi="Times New Roman" w:eastAsia="仿宋_GB2312" w:cs="Times New Roman"/>
          <w:kern w:val="2"/>
          <w:sz w:val="32"/>
          <w:szCs w:val="32"/>
          <w:lang w:val="zh-TW" w:eastAsia="zh-TW" w:bidi="ar-SA"/>
        </w:rPr>
        <w:t>完善研究生招生改革方案，进一步加大博士研究生、硕士研究生的招生宣传</w:t>
      </w:r>
      <w:r>
        <w:rPr>
          <w:rFonts w:hint="default" w:ascii="Times New Roman" w:hAnsi="Times New Roman" w:eastAsia="仿宋_GB2312" w:cs="Times New Roman"/>
          <w:kern w:val="2"/>
          <w:sz w:val="32"/>
          <w:szCs w:val="32"/>
          <w:lang w:val="zh-CN" w:eastAsia="zh-TW" w:bidi="ar-SA"/>
        </w:rPr>
        <w:t>工作</w:t>
      </w:r>
      <w:r>
        <w:rPr>
          <w:rFonts w:hint="default" w:ascii="Times New Roman" w:hAnsi="Times New Roman" w:eastAsia="仿宋_GB2312" w:cs="Times New Roman"/>
          <w:kern w:val="2"/>
          <w:sz w:val="32"/>
          <w:szCs w:val="32"/>
          <w:lang w:val="zh-TW" w:eastAsia="zh-TW" w:bidi="ar-SA"/>
        </w:rPr>
        <w:t>，优化生源结构和质量。</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kern w:val="2"/>
          <w:sz w:val="32"/>
          <w:szCs w:val="32"/>
          <w:lang w:val="zh-CN" w:bidi="ar-SA"/>
        </w:rPr>
        <w:t>加强研究生教育教学资源建设和培养过程管理，建设符合因材施教理念的优质课程，提高研究生的创新能力和实践能力。</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kern w:val="2"/>
          <w:sz w:val="32"/>
          <w:szCs w:val="32"/>
          <w:lang w:val="en-US" w:eastAsia="zh-CN" w:bidi="ar-SA"/>
        </w:rPr>
        <w:t>进一步拓展研究生学术交流渠道。进一步加大学生国内交流的规模，选派更多的优秀学生前往国内学术机构和大学做访问交流。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Times New Roman PS Std"/>
    <w:panose1 w:val="02040503050406030204"/>
    <w:charset w:val="00"/>
    <w:family w:val="modern"/>
    <w:pitch w:val="default"/>
    <w:sig w:usb0="00000000" w:usb1="00000000" w:usb2="00000000" w:usb3="00000000" w:csb0="0000019F" w:csb1="00000000"/>
  </w:font>
  <w:font w:name="Calibri">
    <w:altName w:val="Lucida Sans"/>
    <w:panose1 w:val="020F0502020204030204"/>
    <w:charset w:val="00"/>
    <w:family w:val="decorative"/>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decorative"/>
    <w:pitch w:val="default"/>
    <w:sig w:usb0="00000000" w:usb1="00000000"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仿宋简体">
    <w:altName w:val="方正仿宋_GBK"/>
    <w:panose1 w:val="00000000000000000000"/>
    <w:charset w:val="86"/>
    <w:family w:val="script"/>
    <w:pitch w:val="default"/>
    <w:sig w:usb0="00000000" w:usb1="00000000" w:usb2="00000010" w:usb3="00000000" w:csb0="00040000" w:csb1="00000000"/>
  </w:font>
  <w:font w:name="方正小标宋简体">
    <w:altName w:val="方正小标宋_GBK"/>
    <w:panose1 w:val="02010601030101010101"/>
    <w:charset w:val="86"/>
    <w:family w:val="auto"/>
    <w:pitch w:val="default"/>
    <w:sig w:usb0="00000000" w:usb1="00000000" w:usb2="00000000" w:usb3="00000000" w:csb0="00040000" w:csb1="00000000"/>
  </w:font>
  <w:font w:name="新宋体">
    <w:panose1 w:val="02010600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altName w:val="宋体"/>
    <w:panose1 w:val="020B0604030504040204"/>
    <w:charset w:val="88"/>
    <w:family w:val="modern"/>
    <w:pitch w:val="default"/>
    <w:sig w:usb0="00000000" w:usb1="00000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ahoma">
    <w:altName w:val="Lucida Sans"/>
    <w:panose1 w:val="020B0604030504040204"/>
    <w:charset w:val="00"/>
    <w:family w:val="auto"/>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圆钢笔粉笔字">
    <w:panose1 w:val="020B0602010101010101"/>
    <w:charset w:val="86"/>
    <w:family w:val="auto"/>
    <w:pitch w:val="default"/>
    <w:sig w:usb0="800002FF" w:usb1="FADFFFFF" w:usb2="00040037" w:usb3="00000000" w:csb0="601E019F" w:csb1="9FD70000"/>
  </w:font>
  <w:font w:name="Times New Roman PS Std">
    <w:panose1 w:val="02020503050405020304"/>
    <w:charset w:val="00"/>
    <w:family w:val="auto"/>
    <w:pitch w:val="default"/>
    <w:sig w:usb0="800000AF" w:usb1="5000205B"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8742652">
    <w:nsid w:val="AB96207C"/>
    <w:multiLevelType w:val="singleLevel"/>
    <w:tmpl w:val="AB96207C"/>
    <w:lvl w:ilvl="0" w:tentative="1">
      <w:start w:val="1"/>
      <w:numFmt w:val="decimal"/>
      <w:suff w:val="nothing"/>
      <w:lvlText w:val="%1．"/>
      <w:lvlJc w:val="left"/>
    </w:lvl>
  </w:abstractNum>
  <w:num w:numId="1">
    <w:abstractNumId w:val="28787426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MTNkOWJhYTIwZmNjMzUwY2Y1OGNhMGRlMWQ1ZmQifQ=="/>
  </w:docVars>
  <w:rsids>
    <w:rsidRoot w:val="0B884599"/>
    <w:rsid w:val="001A714D"/>
    <w:rsid w:val="003805BC"/>
    <w:rsid w:val="0040278F"/>
    <w:rsid w:val="004F3EF1"/>
    <w:rsid w:val="00554E25"/>
    <w:rsid w:val="005B1832"/>
    <w:rsid w:val="00795BD2"/>
    <w:rsid w:val="00A1078F"/>
    <w:rsid w:val="00B7713F"/>
    <w:rsid w:val="00C17895"/>
    <w:rsid w:val="00F35D48"/>
    <w:rsid w:val="017816A9"/>
    <w:rsid w:val="053204B3"/>
    <w:rsid w:val="07026A9C"/>
    <w:rsid w:val="075E3CD6"/>
    <w:rsid w:val="09AD6D71"/>
    <w:rsid w:val="0B884599"/>
    <w:rsid w:val="11DC7A7D"/>
    <w:rsid w:val="13E42D42"/>
    <w:rsid w:val="1609687D"/>
    <w:rsid w:val="16560F2B"/>
    <w:rsid w:val="16A054D4"/>
    <w:rsid w:val="1A641F78"/>
    <w:rsid w:val="1F8D036E"/>
    <w:rsid w:val="23394D3C"/>
    <w:rsid w:val="25E57EDE"/>
    <w:rsid w:val="264C11F7"/>
    <w:rsid w:val="27D91F0A"/>
    <w:rsid w:val="2AC57DE4"/>
    <w:rsid w:val="2C2C3231"/>
    <w:rsid w:val="2CF546AA"/>
    <w:rsid w:val="308D63C9"/>
    <w:rsid w:val="346F3E3C"/>
    <w:rsid w:val="36F43D61"/>
    <w:rsid w:val="38AD2DE9"/>
    <w:rsid w:val="39D51F31"/>
    <w:rsid w:val="3DFB275A"/>
    <w:rsid w:val="3EF3232A"/>
    <w:rsid w:val="3FFBB40E"/>
    <w:rsid w:val="41CE780D"/>
    <w:rsid w:val="41F766B1"/>
    <w:rsid w:val="42CD1813"/>
    <w:rsid w:val="47962EEE"/>
    <w:rsid w:val="4CF662CC"/>
    <w:rsid w:val="50227E54"/>
    <w:rsid w:val="54454C0F"/>
    <w:rsid w:val="56310EB4"/>
    <w:rsid w:val="57C39C63"/>
    <w:rsid w:val="58B7679A"/>
    <w:rsid w:val="5A42307E"/>
    <w:rsid w:val="5FF7FE61"/>
    <w:rsid w:val="5FFE9374"/>
    <w:rsid w:val="6096080C"/>
    <w:rsid w:val="65E16585"/>
    <w:rsid w:val="66080EC8"/>
    <w:rsid w:val="68BE2BC1"/>
    <w:rsid w:val="6A442E98"/>
    <w:rsid w:val="6BFDA3F4"/>
    <w:rsid w:val="6C7843B5"/>
    <w:rsid w:val="6DDBE90D"/>
    <w:rsid w:val="6DDF9C72"/>
    <w:rsid w:val="6DEFFB64"/>
    <w:rsid w:val="74C37FB8"/>
    <w:rsid w:val="75687194"/>
    <w:rsid w:val="759E7EC9"/>
    <w:rsid w:val="75EEF6EA"/>
    <w:rsid w:val="76F01A11"/>
    <w:rsid w:val="77AC49E7"/>
    <w:rsid w:val="77F7A982"/>
    <w:rsid w:val="79DFA60D"/>
    <w:rsid w:val="7A7D2977"/>
    <w:rsid w:val="7AA23432"/>
    <w:rsid w:val="7B1D3E33"/>
    <w:rsid w:val="7CCC3693"/>
    <w:rsid w:val="7D97360E"/>
    <w:rsid w:val="7DFF373D"/>
    <w:rsid w:val="7EE73E6E"/>
    <w:rsid w:val="7F6A5CF8"/>
    <w:rsid w:val="7FAE378C"/>
    <w:rsid w:val="7FFE0691"/>
    <w:rsid w:val="B3FFE441"/>
    <w:rsid w:val="ED68B788"/>
    <w:rsid w:val="FCF38041"/>
    <w:rsid w:val="FF77B856"/>
    <w:rsid w:val="FF7BD1F6"/>
    <w:rsid w:val="FFEBC8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ind w:left="220"/>
    </w:pPr>
    <w:rPr>
      <w:rFonts w:ascii="宋体" w:hAnsi="宋体" w:eastAsia="宋体" w:cs="宋体"/>
      <w:sz w:val="28"/>
      <w:szCs w:val="28"/>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List Paragraph"/>
    <w:basedOn w:val="1"/>
    <w:unhideWhenUsed/>
    <w:qFormat/>
    <w:uiPriority w:val="99"/>
    <w:pPr>
      <w:ind w:firstLine="420" w:firstLineChars="200"/>
    </w:pPr>
  </w:style>
  <w:style w:type="character" w:customStyle="1" w:styleId="10">
    <w:name w:val="15"/>
    <w:basedOn w:val="6"/>
    <w:qFormat/>
    <w:uiPriority w:val="0"/>
    <w:rPr>
      <w:rFonts w:hint="default" w:ascii="Calibri" w:hAnsi="Calibri" w:eastAsia="方正仿宋简体" w:cs="Times New Roman"/>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C4C4C"/>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7</Pages>
  <Words>4192</Words>
  <Characters>4402</Characters>
  <Lines>6</Lines>
  <Paragraphs>1</Paragraphs>
  <TotalTime>0</TotalTime>
  <ScaleCrop>false</ScaleCrop>
  <LinksUpToDate>false</LinksUpToDate>
  <CharactersWithSpaces>4433</CharactersWithSpaces>
  <Application>WPS Office 社区版_10.1.0.5672_F1E327BC-269C-435d-A152-05C5408002CA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2021-03-05T09:04:00Z</dcterms:created>
  <dc:creator>Administrator</dc:creator>
  <cp:lastModifiedBy>litfish</cp:lastModifiedBy>
  <cp:lastPrinted>2022-03-10T08:38:00Z</cp:lastPrinted>
  <dcterms:modified xsi:type="dcterms:W3CDTF">2023-02-20T08:23:03Z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2052-10.1.0.5672</vt:lpwstr>
  </property>
  <property fmtid="{D5CDD505-2E9C-101B-9397-08002B2CF9AE}" pid="3" name="ICV">
    <vt:lpwstr>7185D3F0CE0B44439BEE660ED0A92367</vt:lpwstr>
  </property>
</Properties>
</file>